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Table3-Accent6"/>
        <w:tblW w:w="9073" w:type="dxa"/>
        <w:tblInd w:w="-147" w:type="dxa"/>
        <w:tblLook w:val="04A0" w:firstRow="1" w:lastRow="0" w:firstColumn="1" w:lastColumn="0" w:noHBand="0" w:noVBand="1"/>
      </w:tblPr>
      <w:tblGrid>
        <w:gridCol w:w="2269"/>
        <w:gridCol w:w="4678"/>
        <w:gridCol w:w="2126"/>
      </w:tblGrid>
      <w:tr w:rsidR="00D773B8" w14:paraId="043D18AD" w14:textId="77777777" w:rsidTr="00084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9" w:type="dxa"/>
          </w:tcPr>
          <w:p w14:paraId="043D18A8" w14:textId="77777777" w:rsidR="00D773B8" w:rsidRPr="00A60000" w:rsidRDefault="00D773B8" w:rsidP="00D773B8">
            <w:pPr>
              <w:spacing w:after="0"/>
              <w:rPr>
                <w:sz w:val="24"/>
                <w:szCs w:val="24"/>
              </w:rPr>
            </w:pPr>
            <w:r w:rsidRPr="00A60000">
              <w:rPr>
                <w:sz w:val="24"/>
                <w:szCs w:val="24"/>
              </w:rPr>
              <w:t>Document ID</w:t>
            </w:r>
          </w:p>
          <w:p w14:paraId="043D18A9" w14:textId="665684B6" w:rsidR="00D773B8" w:rsidRPr="00A60000" w:rsidRDefault="00B21BB3" w:rsidP="00B21BB3">
            <w:pPr>
              <w:spacing w:after="0"/>
              <w:rPr>
                <w:b w:val="0"/>
                <w:sz w:val="24"/>
                <w:szCs w:val="24"/>
              </w:rPr>
            </w:pPr>
            <w:r>
              <w:rPr>
                <w:b w:val="0"/>
                <w:sz w:val="24"/>
                <w:szCs w:val="24"/>
              </w:rPr>
              <w:t>BCR</w:t>
            </w:r>
            <w:r w:rsidR="00DB2D7A">
              <w:rPr>
                <w:b w:val="0"/>
                <w:sz w:val="24"/>
                <w:szCs w:val="24"/>
              </w:rPr>
              <w:t>-</w:t>
            </w:r>
            <w:r w:rsidR="008431CA">
              <w:rPr>
                <w:b w:val="0"/>
                <w:sz w:val="24"/>
                <w:szCs w:val="24"/>
              </w:rPr>
              <w:t>GE</w:t>
            </w:r>
            <w:r w:rsidR="00E93A2B">
              <w:rPr>
                <w:b w:val="0"/>
                <w:sz w:val="24"/>
                <w:szCs w:val="24"/>
              </w:rPr>
              <w:t xml:space="preserve"> -</w:t>
            </w:r>
            <w:r w:rsidR="00D773B8" w:rsidRPr="00A60000">
              <w:rPr>
                <w:b w:val="0"/>
                <w:sz w:val="24"/>
                <w:szCs w:val="24"/>
              </w:rPr>
              <w:t>10</w:t>
            </w:r>
            <w:r>
              <w:rPr>
                <w:b w:val="0"/>
                <w:sz w:val="24"/>
                <w:szCs w:val="24"/>
              </w:rPr>
              <w:t>1</w:t>
            </w:r>
            <w:r w:rsidR="00D773B8" w:rsidRPr="00A60000">
              <w:rPr>
                <w:sz w:val="24"/>
                <w:szCs w:val="24"/>
              </w:rPr>
              <w:fldChar w:fldCharType="begin"/>
            </w:r>
            <w:r w:rsidR="00D773B8" w:rsidRPr="00A60000">
              <w:rPr>
                <w:b w:val="0"/>
                <w:sz w:val="24"/>
                <w:szCs w:val="24"/>
              </w:rPr>
              <w:instrText xml:space="preserve"> TITLE </w:instrText>
            </w:r>
            <w:r w:rsidR="00D773B8" w:rsidRPr="00A60000">
              <w:rPr>
                <w:sz w:val="24"/>
                <w:szCs w:val="24"/>
              </w:rPr>
              <w:fldChar w:fldCharType="end"/>
            </w:r>
          </w:p>
        </w:tc>
        <w:tc>
          <w:tcPr>
            <w:tcW w:w="4678" w:type="dxa"/>
          </w:tcPr>
          <w:p w14:paraId="043D18AA" w14:textId="77777777" w:rsidR="00D773B8" w:rsidRPr="00A60000" w:rsidRDefault="00D773B8" w:rsidP="00D773B8">
            <w:pPr>
              <w:tabs>
                <w:tab w:val="left" w:pos="3235"/>
              </w:tabs>
              <w:spacing w:after="0"/>
              <w:ind w:left="720" w:hanging="720"/>
              <w:cnfStyle w:val="100000000000" w:firstRow="1" w:lastRow="0" w:firstColumn="0" w:lastColumn="0" w:oddVBand="0" w:evenVBand="0" w:oddHBand="0" w:evenHBand="0" w:firstRowFirstColumn="0" w:firstRowLastColumn="0" w:lastRowFirstColumn="0" w:lastRowLastColumn="0"/>
              <w:rPr>
                <w:b w:val="0"/>
                <w:sz w:val="24"/>
                <w:szCs w:val="24"/>
              </w:rPr>
            </w:pPr>
            <w:r w:rsidRPr="00A60000">
              <w:rPr>
                <w:sz w:val="24"/>
                <w:szCs w:val="24"/>
              </w:rPr>
              <w:t>Title</w:t>
            </w:r>
          </w:p>
          <w:p w14:paraId="043D18AB" w14:textId="28793BE9" w:rsidR="00D773B8" w:rsidRPr="00BB7006" w:rsidRDefault="008431CA" w:rsidP="00D773B8">
            <w:pPr>
              <w:spacing w:after="0"/>
              <w:cnfStyle w:val="100000000000" w:firstRow="1" w:lastRow="0" w:firstColumn="0" w:lastColumn="0" w:oddVBand="0" w:evenVBand="0" w:oddHBand="0" w:evenHBand="0" w:firstRowFirstColumn="0" w:firstRowLastColumn="0" w:lastRowFirstColumn="0" w:lastRowLastColumn="0"/>
              <w:rPr>
                <w:rFonts w:ascii="Verdana" w:hAnsi="Verdana"/>
              </w:rPr>
            </w:pPr>
            <w:r>
              <w:rPr>
                <w:rFonts w:cs="Arial"/>
                <w:sz w:val="24"/>
                <w:szCs w:val="24"/>
              </w:rPr>
              <w:t xml:space="preserve">GENDER </w:t>
            </w:r>
            <w:r w:rsidR="00E93A2B">
              <w:rPr>
                <w:rFonts w:cs="Arial"/>
                <w:sz w:val="24"/>
                <w:szCs w:val="24"/>
              </w:rPr>
              <w:t>EQUALITY P</w:t>
            </w:r>
            <w:r w:rsidR="00123DB6">
              <w:rPr>
                <w:rFonts w:cs="Arial"/>
                <w:sz w:val="24"/>
                <w:szCs w:val="24"/>
              </w:rPr>
              <w:t>LAN</w:t>
            </w:r>
          </w:p>
        </w:tc>
        <w:tc>
          <w:tcPr>
            <w:tcW w:w="2126" w:type="dxa"/>
          </w:tcPr>
          <w:p w14:paraId="043D18AC" w14:textId="77777777" w:rsidR="00D773B8" w:rsidRPr="00A60000" w:rsidRDefault="00D773B8" w:rsidP="00D773B8">
            <w:pPr>
              <w:spacing w:after="0"/>
              <w:cnfStyle w:val="100000000000" w:firstRow="1" w:lastRow="0" w:firstColumn="0" w:lastColumn="0" w:oddVBand="0" w:evenVBand="0" w:oddHBand="0" w:evenHBand="0" w:firstRowFirstColumn="0" w:firstRowLastColumn="0" w:lastRowFirstColumn="0" w:lastRowLastColumn="0"/>
              <w:rPr>
                <w:b w:val="0"/>
                <w:sz w:val="24"/>
                <w:szCs w:val="24"/>
              </w:rPr>
            </w:pPr>
          </w:p>
        </w:tc>
      </w:tr>
      <w:tr w:rsidR="00D773B8" w14:paraId="043D18B4" w14:textId="77777777" w:rsidTr="00084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043D18AE" w14:textId="77777777" w:rsidR="00D773B8" w:rsidRPr="00C77068" w:rsidRDefault="00D773B8" w:rsidP="00D773B8">
            <w:pPr>
              <w:spacing w:after="0"/>
              <w:rPr>
                <w:b w:val="0"/>
                <w:sz w:val="24"/>
                <w:szCs w:val="24"/>
              </w:rPr>
            </w:pPr>
            <w:r w:rsidRPr="00C77068">
              <w:rPr>
                <w:b w:val="0"/>
                <w:sz w:val="24"/>
                <w:szCs w:val="24"/>
              </w:rPr>
              <w:t>Revision</w:t>
            </w:r>
          </w:p>
          <w:p w14:paraId="043D18AF" w14:textId="10FFE00B" w:rsidR="00D773B8" w:rsidRPr="00C77068" w:rsidRDefault="000660B4" w:rsidP="00D773B8">
            <w:pPr>
              <w:spacing w:after="0"/>
              <w:rPr>
                <w:sz w:val="24"/>
                <w:szCs w:val="24"/>
              </w:rPr>
            </w:pPr>
            <w:r w:rsidRPr="00C77068">
              <w:rPr>
                <w:sz w:val="24"/>
                <w:szCs w:val="24"/>
              </w:rPr>
              <w:t>1.</w:t>
            </w:r>
            <w:r w:rsidR="009458D4">
              <w:rPr>
                <w:sz w:val="24"/>
                <w:szCs w:val="24"/>
              </w:rPr>
              <w:t>1.</w:t>
            </w:r>
            <w:r w:rsidR="00D773B8" w:rsidRPr="00C77068">
              <w:rPr>
                <w:sz w:val="24"/>
                <w:szCs w:val="24"/>
              </w:rPr>
              <w:fldChar w:fldCharType="begin"/>
            </w:r>
            <w:r w:rsidR="00D773B8" w:rsidRPr="00C77068">
              <w:rPr>
                <w:sz w:val="24"/>
                <w:szCs w:val="24"/>
              </w:rPr>
              <w:instrText xml:space="preserve"> (e.g., "3.0") </w:instrText>
            </w:r>
            <w:r w:rsidR="00D773B8" w:rsidRPr="00C77068">
              <w:rPr>
                <w:sz w:val="24"/>
                <w:szCs w:val="24"/>
              </w:rPr>
              <w:fldChar w:fldCharType="end"/>
            </w:r>
          </w:p>
        </w:tc>
        <w:tc>
          <w:tcPr>
            <w:tcW w:w="4678" w:type="dxa"/>
          </w:tcPr>
          <w:p w14:paraId="043D18B0" w14:textId="77777777" w:rsidR="00D773B8" w:rsidRPr="00BB7006" w:rsidRDefault="00D773B8" w:rsidP="00D773B8">
            <w:pPr>
              <w:pStyle w:val="EnvelopeReturn"/>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szCs w:val="24"/>
              </w:rPr>
            </w:pPr>
            <w:r w:rsidRPr="00BB7006">
              <w:rPr>
                <w:rFonts w:ascii="Calibri" w:hAnsi="Calibri"/>
                <w:szCs w:val="24"/>
              </w:rPr>
              <w:t>Prepared By</w:t>
            </w:r>
          </w:p>
          <w:p w14:paraId="043D18B1" w14:textId="77777777" w:rsidR="00D773B8" w:rsidRPr="00BB7006" w:rsidRDefault="00AD2F2A" w:rsidP="00D773B8">
            <w:pPr>
              <w:spacing w:after="0"/>
              <w:cnfStyle w:val="000000100000" w:firstRow="0" w:lastRow="0" w:firstColumn="0" w:lastColumn="0" w:oddVBand="0" w:evenVBand="0" w:oddHBand="1" w:evenHBand="0" w:firstRowFirstColumn="0" w:firstRowLastColumn="0" w:lastRowFirstColumn="0" w:lastRowLastColumn="0"/>
              <w:rPr>
                <w:rFonts w:ascii="Verdana" w:hAnsi="Verdana"/>
                <w:b/>
                <w:sz w:val="24"/>
                <w:szCs w:val="24"/>
              </w:rPr>
            </w:pPr>
            <w:r>
              <w:rPr>
                <w:rFonts w:ascii="Calibri" w:hAnsi="Calibri"/>
                <w:b/>
                <w:sz w:val="24"/>
                <w:szCs w:val="24"/>
              </w:rPr>
              <w:t>Dr Frances Drummond</w:t>
            </w:r>
            <w:r w:rsidR="00B21BB3" w:rsidRPr="00BB7006">
              <w:rPr>
                <w:rFonts w:ascii="Calibri" w:hAnsi="Calibri"/>
                <w:b/>
                <w:sz w:val="24"/>
                <w:szCs w:val="24"/>
              </w:rPr>
              <w:t>/</w:t>
            </w:r>
            <w:r>
              <w:rPr>
                <w:rFonts w:ascii="Calibri" w:hAnsi="Calibri"/>
                <w:b/>
                <w:sz w:val="24"/>
                <w:szCs w:val="24"/>
              </w:rPr>
              <w:t xml:space="preserve">Research </w:t>
            </w:r>
            <w:r w:rsidR="00B85069">
              <w:rPr>
                <w:rFonts w:ascii="Calibri" w:hAnsi="Calibri"/>
                <w:b/>
                <w:sz w:val="24"/>
                <w:szCs w:val="24"/>
              </w:rPr>
              <w:t>Manager</w:t>
            </w:r>
          </w:p>
        </w:tc>
        <w:tc>
          <w:tcPr>
            <w:tcW w:w="2126" w:type="dxa"/>
          </w:tcPr>
          <w:p w14:paraId="043D18B2" w14:textId="77777777" w:rsidR="00D773B8" w:rsidRPr="00BB7006" w:rsidRDefault="00D773B8" w:rsidP="00D773B8">
            <w:pPr>
              <w:spacing w:after="0"/>
              <w:cnfStyle w:val="000000100000" w:firstRow="0" w:lastRow="0" w:firstColumn="0" w:lastColumn="0" w:oddVBand="0" w:evenVBand="0" w:oddHBand="1" w:evenHBand="0" w:firstRowFirstColumn="0" w:firstRowLastColumn="0" w:lastRowFirstColumn="0" w:lastRowLastColumn="0"/>
              <w:rPr>
                <w:sz w:val="24"/>
                <w:szCs w:val="24"/>
              </w:rPr>
            </w:pPr>
            <w:r w:rsidRPr="00BB7006">
              <w:rPr>
                <w:sz w:val="24"/>
                <w:szCs w:val="24"/>
              </w:rPr>
              <w:t>Date Prepared</w:t>
            </w:r>
          </w:p>
          <w:p w14:paraId="043D18B3" w14:textId="4385A6FF" w:rsidR="00D773B8" w:rsidRPr="00BB7006" w:rsidRDefault="004F049E" w:rsidP="00D773B8">
            <w:pPr>
              <w:spacing w:after="0"/>
              <w:cnfStyle w:val="000000100000" w:firstRow="0" w:lastRow="0" w:firstColumn="0" w:lastColumn="0" w:oddVBand="0" w:evenVBand="0" w:oddHBand="1" w:evenHBand="0" w:firstRowFirstColumn="0" w:firstRowLastColumn="0" w:lastRowFirstColumn="0" w:lastRowLastColumn="0"/>
              <w:rPr>
                <w:sz w:val="24"/>
                <w:szCs w:val="24"/>
              </w:rPr>
            </w:pPr>
            <w:r>
              <w:rPr>
                <w:b/>
                <w:sz w:val="24"/>
                <w:szCs w:val="24"/>
              </w:rPr>
              <w:t>1</w:t>
            </w:r>
            <w:r w:rsidR="00854AC3">
              <w:rPr>
                <w:b/>
                <w:sz w:val="24"/>
                <w:szCs w:val="24"/>
              </w:rPr>
              <w:t>5</w:t>
            </w:r>
            <w:r w:rsidR="00B85069" w:rsidRPr="00BB7006">
              <w:rPr>
                <w:b/>
                <w:sz w:val="24"/>
                <w:szCs w:val="24"/>
              </w:rPr>
              <w:t>/</w:t>
            </w:r>
            <w:r>
              <w:rPr>
                <w:b/>
                <w:sz w:val="24"/>
                <w:szCs w:val="24"/>
              </w:rPr>
              <w:t>1</w:t>
            </w:r>
            <w:r w:rsidR="00854AC3">
              <w:rPr>
                <w:b/>
                <w:sz w:val="24"/>
                <w:szCs w:val="24"/>
              </w:rPr>
              <w:t>0</w:t>
            </w:r>
            <w:r w:rsidR="00B85069" w:rsidRPr="00BB7006">
              <w:rPr>
                <w:b/>
                <w:sz w:val="24"/>
                <w:szCs w:val="24"/>
              </w:rPr>
              <w:t>/20</w:t>
            </w:r>
            <w:r>
              <w:rPr>
                <w:b/>
                <w:sz w:val="24"/>
                <w:szCs w:val="24"/>
              </w:rPr>
              <w:t>24</w:t>
            </w:r>
          </w:p>
        </w:tc>
      </w:tr>
      <w:tr w:rsidR="00D773B8" w14:paraId="043D18BB" w14:textId="77777777" w:rsidTr="00084F0F">
        <w:tc>
          <w:tcPr>
            <w:cnfStyle w:val="001000000000" w:firstRow="0" w:lastRow="0" w:firstColumn="1" w:lastColumn="0" w:oddVBand="0" w:evenVBand="0" w:oddHBand="0" w:evenHBand="0" w:firstRowFirstColumn="0" w:firstRowLastColumn="0" w:lastRowFirstColumn="0" w:lastRowLastColumn="0"/>
            <w:tcW w:w="2269" w:type="dxa"/>
          </w:tcPr>
          <w:p w14:paraId="043D18B5" w14:textId="77777777" w:rsidR="00D773B8" w:rsidRPr="00C77068" w:rsidRDefault="00D773B8" w:rsidP="00D773B8">
            <w:pPr>
              <w:spacing w:after="0"/>
              <w:rPr>
                <w:b w:val="0"/>
                <w:sz w:val="24"/>
                <w:szCs w:val="24"/>
              </w:rPr>
            </w:pPr>
            <w:r w:rsidRPr="00C77068">
              <w:rPr>
                <w:b w:val="0"/>
                <w:sz w:val="24"/>
                <w:szCs w:val="24"/>
              </w:rPr>
              <w:t>Effective Date:</w:t>
            </w:r>
          </w:p>
          <w:p w14:paraId="043D18B6" w14:textId="43FDBCC2" w:rsidR="00D773B8" w:rsidRPr="00C510E9" w:rsidRDefault="004F049E" w:rsidP="00D773B8">
            <w:pPr>
              <w:spacing w:after="0"/>
              <w:rPr>
                <w:sz w:val="24"/>
                <w:szCs w:val="24"/>
              </w:rPr>
            </w:pPr>
            <w:r>
              <w:rPr>
                <w:sz w:val="24"/>
                <w:szCs w:val="24"/>
              </w:rPr>
              <w:t>24</w:t>
            </w:r>
            <w:r w:rsidR="006B5777" w:rsidRPr="00C510E9">
              <w:rPr>
                <w:sz w:val="24"/>
                <w:szCs w:val="24"/>
              </w:rPr>
              <w:t>/</w:t>
            </w:r>
            <w:r w:rsidR="00EB3FD2">
              <w:rPr>
                <w:sz w:val="24"/>
                <w:szCs w:val="24"/>
              </w:rPr>
              <w:t>10</w:t>
            </w:r>
            <w:r w:rsidR="006B5777" w:rsidRPr="00C510E9">
              <w:rPr>
                <w:sz w:val="24"/>
                <w:szCs w:val="24"/>
              </w:rPr>
              <w:t>/202</w:t>
            </w:r>
            <w:r w:rsidR="00EB3FD2">
              <w:rPr>
                <w:sz w:val="24"/>
                <w:szCs w:val="24"/>
              </w:rPr>
              <w:t>4</w:t>
            </w:r>
          </w:p>
        </w:tc>
        <w:tc>
          <w:tcPr>
            <w:tcW w:w="4678" w:type="dxa"/>
          </w:tcPr>
          <w:p w14:paraId="043D18B7" w14:textId="77777777" w:rsidR="00D773B8" w:rsidRPr="00BB7006" w:rsidRDefault="00D773B8" w:rsidP="00D773B8">
            <w:pPr>
              <w:spacing w:after="0"/>
              <w:cnfStyle w:val="000000000000" w:firstRow="0" w:lastRow="0" w:firstColumn="0" w:lastColumn="0" w:oddVBand="0" w:evenVBand="0" w:oddHBand="0" w:evenHBand="0" w:firstRowFirstColumn="0" w:firstRowLastColumn="0" w:lastRowFirstColumn="0" w:lastRowLastColumn="0"/>
              <w:rPr>
                <w:sz w:val="24"/>
                <w:szCs w:val="24"/>
              </w:rPr>
            </w:pPr>
            <w:r w:rsidRPr="00BB7006">
              <w:rPr>
                <w:sz w:val="24"/>
                <w:szCs w:val="24"/>
              </w:rPr>
              <w:t>Reviewed By</w:t>
            </w:r>
          </w:p>
          <w:p w14:paraId="043D18B8" w14:textId="77777777" w:rsidR="00D773B8" w:rsidRPr="00BB7006" w:rsidRDefault="00D773B8" w:rsidP="00D773B8">
            <w:pPr>
              <w:spacing w:after="0"/>
              <w:cnfStyle w:val="000000000000" w:firstRow="0" w:lastRow="0" w:firstColumn="0" w:lastColumn="0" w:oddVBand="0" w:evenVBand="0" w:oddHBand="0" w:evenHBand="0" w:firstRowFirstColumn="0" w:firstRowLastColumn="0" w:lastRowFirstColumn="0" w:lastRowLastColumn="0"/>
              <w:rPr>
                <w:rFonts w:ascii="Verdana" w:hAnsi="Verdana"/>
                <w:b/>
              </w:rPr>
            </w:pPr>
            <w:r w:rsidRPr="00BB7006">
              <w:rPr>
                <w:b/>
                <w:sz w:val="24"/>
                <w:szCs w:val="24"/>
              </w:rPr>
              <w:t>Orla Dolan/</w:t>
            </w:r>
            <w:r w:rsidR="00AD2F2A">
              <w:rPr>
                <w:b/>
                <w:sz w:val="24"/>
                <w:szCs w:val="24"/>
              </w:rPr>
              <w:t>CEO</w:t>
            </w:r>
          </w:p>
        </w:tc>
        <w:tc>
          <w:tcPr>
            <w:tcW w:w="2126" w:type="dxa"/>
          </w:tcPr>
          <w:p w14:paraId="043D18B9" w14:textId="77777777" w:rsidR="00D773B8" w:rsidRPr="00BB7006" w:rsidRDefault="00D773B8" w:rsidP="00D773B8">
            <w:pPr>
              <w:spacing w:after="0"/>
              <w:cnfStyle w:val="000000000000" w:firstRow="0" w:lastRow="0" w:firstColumn="0" w:lastColumn="0" w:oddVBand="0" w:evenVBand="0" w:oddHBand="0" w:evenHBand="0" w:firstRowFirstColumn="0" w:firstRowLastColumn="0" w:lastRowFirstColumn="0" w:lastRowLastColumn="0"/>
              <w:rPr>
                <w:sz w:val="24"/>
                <w:szCs w:val="24"/>
              </w:rPr>
            </w:pPr>
            <w:r w:rsidRPr="00BB7006">
              <w:rPr>
                <w:sz w:val="24"/>
                <w:szCs w:val="24"/>
              </w:rPr>
              <w:t>Date Reviewed</w:t>
            </w:r>
          </w:p>
          <w:p w14:paraId="043D18BA" w14:textId="1C989E7A" w:rsidR="00D773B8" w:rsidRPr="00C510E9" w:rsidRDefault="004F049E" w:rsidP="00D773B8">
            <w:pPr>
              <w:spacing w:after="0"/>
              <w:cnfStyle w:val="000000000000" w:firstRow="0" w:lastRow="0" w:firstColumn="0" w:lastColumn="0" w:oddVBand="0" w:evenVBand="0" w:oddHBand="0" w:evenHBand="0" w:firstRowFirstColumn="0" w:firstRowLastColumn="0" w:lastRowFirstColumn="0" w:lastRowLastColumn="0"/>
              <w:rPr>
                <w:b/>
                <w:sz w:val="24"/>
                <w:szCs w:val="24"/>
              </w:rPr>
            </w:pPr>
            <w:r w:rsidRPr="00123DB6">
              <w:rPr>
                <w:b/>
                <w:sz w:val="24"/>
                <w:szCs w:val="24"/>
              </w:rPr>
              <w:t>15/10/2024</w:t>
            </w:r>
          </w:p>
        </w:tc>
      </w:tr>
      <w:tr w:rsidR="00D773B8" w14:paraId="043D18C2" w14:textId="77777777" w:rsidTr="00084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043D18BC" w14:textId="77777777" w:rsidR="00C77068" w:rsidRDefault="00C77068" w:rsidP="00084F0F">
            <w:pPr>
              <w:spacing w:after="0"/>
              <w:rPr>
                <w:sz w:val="24"/>
                <w:szCs w:val="24"/>
              </w:rPr>
            </w:pPr>
          </w:p>
          <w:p w14:paraId="043D18BD" w14:textId="77777777" w:rsidR="00D773B8" w:rsidRPr="00084F0F" w:rsidRDefault="00084F0F" w:rsidP="00084F0F">
            <w:pPr>
              <w:spacing w:after="0"/>
              <w:rPr>
                <w:sz w:val="24"/>
                <w:szCs w:val="24"/>
              </w:rPr>
            </w:pPr>
            <w:r>
              <w:rPr>
                <w:sz w:val="24"/>
                <w:szCs w:val="24"/>
              </w:rPr>
              <w:t>Annually R</w:t>
            </w:r>
            <w:r w:rsidRPr="00084F0F">
              <w:rPr>
                <w:sz w:val="24"/>
                <w:szCs w:val="24"/>
              </w:rPr>
              <w:t>eviewed</w:t>
            </w:r>
          </w:p>
        </w:tc>
        <w:tc>
          <w:tcPr>
            <w:tcW w:w="4678" w:type="dxa"/>
          </w:tcPr>
          <w:p w14:paraId="043D18BE" w14:textId="77777777" w:rsidR="00D773B8" w:rsidRPr="00BB7006" w:rsidRDefault="00D773B8" w:rsidP="00D773B8">
            <w:pPr>
              <w:spacing w:after="0"/>
              <w:cnfStyle w:val="000000100000" w:firstRow="0" w:lastRow="0" w:firstColumn="0" w:lastColumn="0" w:oddVBand="0" w:evenVBand="0" w:oddHBand="1" w:evenHBand="0" w:firstRowFirstColumn="0" w:firstRowLastColumn="0" w:lastRowFirstColumn="0" w:lastRowLastColumn="0"/>
              <w:rPr>
                <w:sz w:val="24"/>
                <w:szCs w:val="24"/>
              </w:rPr>
            </w:pPr>
            <w:r w:rsidRPr="00BB7006">
              <w:rPr>
                <w:sz w:val="24"/>
                <w:szCs w:val="24"/>
              </w:rPr>
              <w:t>Approved By</w:t>
            </w:r>
          </w:p>
          <w:p w14:paraId="043D18BF" w14:textId="77777777" w:rsidR="00D773B8" w:rsidRPr="00BB7006" w:rsidRDefault="00BB7006" w:rsidP="00B21BB3">
            <w:pPr>
              <w:spacing w:after="0"/>
              <w:cnfStyle w:val="000000100000" w:firstRow="0" w:lastRow="0" w:firstColumn="0" w:lastColumn="0" w:oddVBand="0" w:evenVBand="0" w:oddHBand="1" w:evenHBand="0" w:firstRowFirstColumn="0" w:firstRowLastColumn="0" w:lastRowFirstColumn="0" w:lastRowLastColumn="0"/>
              <w:rPr>
                <w:rFonts w:ascii="Verdana" w:hAnsi="Verdana"/>
                <w:b/>
              </w:rPr>
            </w:pPr>
            <w:r w:rsidRPr="00BB7006">
              <w:rPr>
                <w:b/>
                <w:sz w:val="24"/>
                <w:szCs w:val="24"/>
              </w:rPr>
              <w:t>Board of Directors</w:t>
            </w:r>
          </w:p>
        </w:tc>
        <w:tc>
          <w:tcPr>
            <w:tcW w:w="2126" w:type="dxa"/>
          </w:tcPr>
          <w:p w14:paraId="043D18C0" w14:textId="77777777" w:rsidR="00D773B8" w:rsidRPr="00BB7006" w:rsidRDefault="00D773B8" w:rsidP="00D773B8">
            <w:pPr>
              <w:spacing w:after="0"/>
              <w:cnfStyle w:val="000000100000" w:firstRow="0" w:lastRow="0" w:firstColumn="0" w:lastColumn="0" w:oddVBand="0" w:evenVBand="0" w:oddHBand="1" w:evenHBand="0" w:firstRowFirstColumn="0" w:firstRowLastColumn="0" w:lastRowFirstColumn="0" w:lastRowLastColumn="0"/>
              <w:rPr>
                <w:sz w:val="24"/>
                <w:szCs w:val="24"/>
              </w:rPr>
            </w:pPr>
            <w:r w:rsidRPr="00BB7006">
              <w:rPr>
                <w:sz w:val="24"/>
                <w:szCs w:val="24"/>
              </w:rPr>
              <w:t>Date Approved</w:t>
            </w:r>
          </w:p>
          <w:p w14:paraId="043D18C1" w14:textId="72A161D9" w:rsidR="00D773B8" w:rsidRPr="00C510E9" w:rsidRDefault="004F049E" w:rsidP="00D773B8">
            <w:pPr>
              <w:spacing w:after="0"/>
              <w:cnfStyle w:val="000000100000" w:firstRow="0" w:lastRow="0" w:firstColumn="0" w:lastColumn="0" w:oddVBand="0" w:evenVBand="0" w:oddHBand="1" w:evenHBand="0" w:firstRowFirstColumn="0" w:firstRowLastColumn="0" w:lastRowFirstColumn="0" w:lastRowLastColumn="0"/>
              <w:rPr>
                <w:b/>
                <w:sz w:val="24"/>
                <w:szCs w:val="24"/>
              </w:rPr>
            </w:pPr>
            <w:r w:rsidRPr="00123DB6">
              <w:rPr>
                <w:b/>
                <w:sz w:val="24"/>
                <w:szCs w:val="24"/>
              </w:rPr>
              <w:t>24</w:t>
            </w:r>
            <w:r w:rsidR="00C510E9" w:rsidRPr="00123DB6">
              <w:rPr>
                <w:b/>
                <w:sz w:val="24"/>
                <w:szCs w:val="24"/>
              </w:rPr>
              <w:t>/</w:t>
            </w:r>
            <w:r w:rsidRPr="00123DB6">
              <w:rPr>
                <w:b/>
                <w:sz w:val="24"/>
                <w:szCs w:val="24"/>
              </w:rPr>
              <w:t>10</w:t>
            </w:r>
            <w:r w:rsidR="00C510E9" w:rsidRPr="00123DB6">
              <w:rPr>
                <w:b/>
                <w:sz w:val="24"/>
                <w:szCs w:val="24"/>
              </w:rPr>
              <w:t>/20</w:t>
            </w:r>
            <w:r w:rsidRPr="00123DB6">
              <w:rPr>
                <w:b/>
                <w:sz w:val="24"/>
                <w:szCs w:val="24"/>
              </w:rPr>
              <w:t>24</w:t>
            </w:r>
          </w:p>
        </w:tc>
      </w:tr>
    </w:tbl>
    <w:p w14:paraId="043D18C3" w14:textId="77777777" w:rsidR="00D773B8" w:rsidRDefault="00D773B8" w:rsidP="00D773B8">
      <w:pPr>
        <w:tabs>
          <w:tab w:val="left" w:pos="1440"/>
        </w:tabs>
        <w:ind w:left="1440" w:hanging="1440"/>
        <w:rPr>
          <w:rFonts w:ascii="Times New Roman" w:hAnsi="Times New Roman"/>
          <w:b/>
          <w:sz w:val="24"/>
        </w:rPr>
      </w:pPr>
    </w:p>
    <w:tbl>
      <w:tblPr>
        <w:tblStyle w:val="TableGridLight"/>
        <w:tblW w:w="9073" w:type="dxa"/>
        <w:tblInd w:w="-147" w:type="dxa"/>
        <w:tblLook w:val="01E0" w:firstRow="1" w:lastRow="1" w:firstColumn="1" w:lastColumn="1" w:noHBand="0" w:noVBand="0"/>
      </w:tblPr>
      <w:tblGrid>
        <w:gridCol w:w="2416"/>
        <w:gridCol w:w="6657"/>
      </w:tblGrid>
      <w:tr w:rsidR="00D773B8" w:rsidRPr="00A60000" w14:paraId="043D18C6" w14:textId="77777777" w:rsidTr="00E1763C">
        <w:tc>
          <w:tcPr>
            <w:tcW w:w="2416" w:type="dxa"/>
          </w:tcPr>
          <w:p w14:paraId="043D18C4" w14:textId="77777777" w:rsidR="00D773B8" w:rsidRPr="00A60000" w:rsidRDefault="00D773B8" w:rsidP="00CA68E8">
            <w:pPr>
              <w:spacing w:before="100" w:beforeAutospacing="1" w:after="100" w:afterAutospacing="1"/>
              <w:rPr>
                <w:b/>
                <w:sz w:val="24"/>
              </w:rPr>
            </w:pPr>
            <w:r w:rsidRPr="00A60000">
              <w:rPr>
                <w:b/>
                <w:sz w:val="24"/>
              </w:rPr>
              <w:t>Policy:</w:t>
            </w:r>
          </w:p>
        </w:tc>
        <w:tc>
          <w:tcPr>
            <w:tcW w:w="6657" w:type="dxa"/>
          </w:tcPr>
          <w:p w14:paraId="043D18C5" w14:textId="5141BA53" w:rsidR="00D773B8" w:rsidRPr="00E93A2B" w:rsidRDefault="00AC2CEC" w:rsidP="004D7333">
            <w:pPr>
              <w:rPr>
                <w:sz w:val="24"/>
                <w:szCs w:val="24"/>
              </w:rPr>
            </w:pPr>
            <w:r w:rsidRPr="004D7333">
              <w:rPr>
                <w:sz w:val="24"/>
                <w:szCs w:val="24"/>
              </w:rPr>
              <w:t xml:space="preserve">The charity is committed to </w:t>
            </w:r>
            <w:r w:rsidR="00976AFA" w:rsidRPr="004D7333">
              <w:rPr>
                <w:sz w:val="24"/>
                <w:szCs w:val="24"/>
              </w:rPr>
              <w:t>promoting</w:t>
            </w:r>
            <w:r w:rsidRPr="004D7333">
              <w:rPr>
                <w:sz w:val="24"/>
                <w:szCs w:val="24"/>
              </w:rPr>
              <w:t xml:space="preserve"> gender equality </w:t>
            </w:r>
            <w:r w:rsidR="00AA15D7" w:rsidRPr="004D7333">
              <w:rPr>
                <w:sz w:val="24"/>
                <w:szCs w:val="24"/>
              </w:rPr>
              <w:t xml:space="preserve">within our organisation </w:t>
            </w:r>
            <w:r w:rsidR="00440FD1" w:rsidRPr="004D7333">
              <w:rPr>
                <w:sz w:val="24"/>
                <w:szCs w:val="24"/>
              </w:rPr>
              <w:t xml:space="preserve">and </w:t>
            </w:r>
            <w:r w:rsidRPr="004D7333">
              <w:rPr>
                <w:sz w:val="24"/>
                <w:szCs w:val="24"/>
              </w:rPr>
              <w:t xml:space="preserve">in </w:t>
            </w:r>
            <w:r w:rsidR="00440FD1" w:rsidRPr="004D7333">
              <w:rPr>
                <w:sz w:val="24"/>
                <w:szCs w:val="24"/>
              </w:rPr>
              <w:t xml:space="preserve">the </w:t>
            </w:r>
            <w:r w:rsidRPr="004D7333">
              <w:rPr>
                <w:sz w:val="24"/>
                <w:szCs w:val="24"/>
              </w:rPr>
              <w:t>health research</w:t>
            </w:r>
            <w:r w:rsidR="00440FD1" w:rsidRPr="004D7333">
              <w:rPr>
                <w:sz w:val="24"/>
                <w:szCs w:val="24"/>
              </w:rPr>
              <w:t xml:space="preserve"> that we fund</w:t>
            </w:r>
            <w:r w:rsidRPr="004D7333">
              <w:rPr>
                <w:sz w:val="24"/>
                <w:szCs w:val="24"/>
              </w:rPr>
              <w:t xml:space="preserve">, ensuring that all individuals, regardless of gender, have equal access to opportunities, representation, and participation in </w:t>
            </w:r>
            <w:r w:rsidR="005D5BC0">
              <w:rPr>
                <w:sz w:val="24"/>
                <w:szCs w:val="24"/>
              </w:rPr>
              <w:t>the grants we fund</w:t>
            </w:r>
            <w:r w:rsidRPr="004D7333">
              <w:rPr>
                <w:sz w:val="24"/>
                <w:szCs w:val="24"/>
              </w:rPr>
              <w:t>,</w:t>
            </w:r>
            <w:r w:rsidR="005D5BC0">
              <w:rPr>
                <w:sz w:val="24"/>
                <w:szCs w:val="24"/>
              </w:rPr>
              <w:t xml:space="preserve"> our</w:t>
            </w:r>
            <w:r w:rsidRPr="004D7333">
              <w:rPr>
                <w:sz w:val="24"/>
                <w:szCs w:val="24"/>
              </w:rPr>
              <w:t xml:space="preserve"> initiatives, and organi</w:t>
            </w:r>
            <w:r w:rsidR="005D5BC0">
              <w:rPr>
                <w:sz w:val="24"/>
                <w:szCs w:val="24"/>
              </w:rPr>
              <w:t>s</w:t>
            </w:r>
            <w:r w:rsidRPr="004D7333">
              <w:rPr>
                <w:sz w:val="24"/>
                <w:szCs w:val="24"/>
              </w:rPr>
              <w:t xml:space="preserve">ational culture. </w:t>
            </w:r>
          </w:p>
        </w:tc>
      </w:tr>
      <w:tr w:rsidR="00D773B8" w:rsidRPr="00A60000" w14:paraId="043D18C9" w14:textId="77777777" w:rsidTr="00E1763C">
        <w:tc>
          <w:tcPr>
            <w:tcW w:w="2416" w:type="dxa"/>
          </w:tcPr>
          <w:p w14:paraId="043D18C7" w14:textId="77777777" w:rsidR="00D773B8" w:rsidRPr="00A60000" w:rsidRDefault="00D773B8" w:rsidP="00CA68E8">
            <w:pPr>
              <w:pStyle w:val="NormalWeb"/>
              <w:rPr>
                <w:rFonts w:ascii="Calibri" w:hAnsi="Calibri"/>
              </w:rPr>
            </w:pPr>
            <w:r w:rsidRPr="00A60000">
              <w:rPr>
                <w:rFonts w:ascii="Calibri" w:hAnsi="Calibri"/>
                <w:b/>
              </w:rPr>
              <w:t>Purpose:</w:t>
            </w:r>
          </w:p>
        </w:tc>
        <w:tc>
          <w:tcPr>
            <w:tcW w:w="6657" w:type="dxa"/>
          </w:tcPr>
          <w:p w14:paraId="21E94914" w14:textId="77777777" w:rsidR="00E93A2B" w:rsidRDefault="00E93A2B" w:rsidP="00E93A2B">
            <w:pPr>
              <w:spacing w:after="160" w:line="278" w:lineRule="auto"/>
              <w:rPr>
                <w:sz w:val="24"/>
                <w:szCs w:val="24"/>
              </w:rPr>
            </w:pPr>
            <w:r w:rsidRPr="004F7D37">
              <w:rPr>
                <w:sz w:val="24"/>
                <w:szCs w:val="24"/>
              </w:rPr>
              <w:t>The purpose of this policy is to:</w:t>
            </w:r>
          </w:p>
          <w:p w14:paraId="252C3703" w14:textId="44F2757A" w:rsidR="0088247B" w:rsidRPr="00DA2B0D" w:rsidRDefault="0088247B" w:rsidP="00DA2B0D">
            <w:pPr>
              <w:pStyle w:val="ListParagraph"/>
              <w:numPr>
                <w:ilvl w:val="0"/>
                <w:numId w:val="38"/>
              </w:numPr>
              <w:spacing w:after="160" w:line="278" w:lineRule="auto"/>
              <w:rPr>
                <w:sz w:val="24"/>
                <w:szCs w:val="24"/>
              </w:rPr>
            </w:pPr>
            <w:r w:rsidRPr="00DA2B0D">
              <w:rPr>
                <w:sz w:val="24"/>
                <w:szCs w:val="24"/>
              </w:rPr>
              <w:t>Promote gender equality in the allocation of research funding.</w:t>
            </w:r>
          </w:p>
          <w:p w14:paraId="2C473FEA" w14:textId="77777777" w:rsidR="0088247B" w:rsidRPr="0088247B" w:rsidRDefault="0088247B" w:rsidP="0088247B">
            <w:pPr>
              <w:numPr>
                <w:ilvl w:val="0"/>
                <w:numId w:val="38"/>
              </w:numPr>
              <w:spacing w:after="160" w:line="278" w:lineRule="auto"/>
              <w:rPr>
                <w:sz w:val="24"/>
                <w:szCs w:val="24"/>
              </w:rPr>
            </w:pPr>
            <w:r w:rsidRPr="0088247B">
              <w:rPr>
                <w:sz w:val="24"/>
                <w:szCs w:val="24"/>
              </w:rPr>
              <w:t>Ensure that gender issues are considered within the research process and outcomes.</w:t>
            </w:r>
          </w:p>
          <w:p w14:paraId="446BB4F8" w14:textId="77777777" w:rsidR="0088247B" w:rsidRPr="0088247B" w:rsidRDefault="0088247B" w:rsidP="0088247B">
            <w:pPr>
              <w:numPr>
                <w:ilvl w:val="0"/>
                <w:numId w:val="38"/>
              </w:numPr>
              <w:spacing w:after="160" w:line="278" w:lineRule="auto"/>
              <w:rPr>
                <w:sz w:val="24"/>
                <w:szCs w:val="24"/>
              </w:rPr>
            </w:pPr>
            <w:r w:rsidRPr="0088247B">
              <w:rPr>
                <w:sz w:val="24"/>
                <w:szCs w:val="24"/>
              </w:rPr>
              <w:t>Support equal opportunities for researchers of all genders.</w:t>
            </w:r>
          </w:p>
          <w:p w14:paraId="730A7A70" w14:textId="77777777" w:rsidR="0088247B" w:rsidRPr="0088247B" w:rsidRDefault="0088247B" w:rsidP="0088247B">
            <w:pPr>
              <w:numPr>
                <w:ilvl w:val="0"/>
                <w:numId w:val="38"/>
              </w:numPr>
              <w:spacing w:after="160" w:line="278" w:lineRule="auto"/>
              <w:rPr>
                <w:sz w:val="24"/>
                <w:szCs w:val="24"/>
              </w:rPr>
            </w:pPr>
            <w:r w:rsidRPr="0088247B">
              <w:rPr>
                <w:sz w:val="24"/>
                <w:szCs w:val="24"/>
              </w:rPr>
              <w:t>Foster an organizational culture that actively challenges gender-based discrimination.</w:t>
            </w:r>
          </w:p>
          <w:p w14:paraId="043D18C8" w14:textId="74B70FDB" w:rsidR="00E93A2B" w:rsidRPr="00DA2B0D" w:rsidRDefault="0088247B" w:rsidP="00DA2B0D">
            <w:pPr>
              <w:numPr>
                <w:ilvl w:val="0"/>
                <w:numId w:val="38"/>
              </w:numPr>
              <w:spacing w:after="160" w:line="278" w:lineRule="auto"/>
              <w:rPr>
                <w:sz w:val="24"/>
                <w:szCs w:val="24"/>
              </w:rPr>
            </w:pPr>
            <w:r w:rsidRPr="0088247B">
              <w:rPr>
                <w:sz w:val="24"/>
                <w:szCs w:val="24"/>
              </w:rPr>
              <w:t>Comply with all relevant Irish legislation and international frameworks on gender equality</w:t>
            </w:r>
            <w:r w:rsidR="00DA2B0D">
              <w:rPr>
                <w:sz w:val="24"/>
                <w:szCs w:val="24"/>
              </w:rPr>
              <w:t>.</w:t>
            </w:r>
          </w:p>
        </w:tc>
      </w:tr>
      <w:tr w:rsidR="00D773B8" w:rsidRPr="00A60000" w14:paraId="043D18CC" w14:textId="77777777" w:rsidTr="00E1763C">
        <w:tc>
          <w:tcPr>
            <w:tcW w:w="2416" w:type="dxa"/>
          </w:tcPr>
          <w:p w14:paraId="043D18CA" w14:textId="77777777" w:rsidR="00D773B8" w:rsidRPr="00CE4E4C" w:rsidRDefault="00D773B8" w:rsidP="00CA68E8">
            <w:pPr>
              <w:spacing w:before="100" w:beforeAutospacing="1" w:after="100" w:afterAutospacing="1"/>
              <w:rPr>
                <w:sz w:val="24"/>
                <w:szCs w:val="24"/>
              </w:rPr>
            </w:pPr>
            <w:bookmarkStart w:id="0" w:name="_Toc23134755"/>
            <w:r w:rsidRPr="00CE4E4C">
              <w:rPr>
                <w:b/>
                <w:sz w:val="24"/>
                <w:szCs w:val="24"/>
              </w:rPr>
              <w:t>Scope:</w:t>
            </w:r>
          </w:p>
        </w:tc>
        <w:tc>
          <w:tcPr>
            <w:tcW w:w="6657" w:type="dxa"/>
          </w:tcPr>
          <w:p w14:paraId="6DC1B5C8" w14:textId="1C6B76B6" w:rsidR="00E93A2B" w:rsidRPr="00CE4E4C" w:rsidRDefault="00E93A2B" w:rsidP="00E93A2B">
            <w:pPr>
              <w:spacing w:afterLines="60" w:after="144"/>
              <w:rPr>
                <w:sz w:val="24"/>
                <w:szCs w:val="24"/>
              </w:rPr>
            </w:pPr>
            <w:r w:rsidRPr="00CE4E4C">
              <w:rPr>
                <w:sz w:val="24"/>
                <w:szCs w:val="24"/>
              </w:rPr>
              <w:t>This policy applies to all Staff, Volunteers, Board members, and anyone engaging with Breakthrough.</w:t>
            </w:r>
            <w:bookmarkEnd w:id="0"/>
            <w:r w:rsidR="001E5D69">
              <w:rPr>
                <w:sz w:val="24"/>
                <w:szCs w:val="24"/>
              </w:rPr>
              <w:t xml:space="preserve"> </w:t>
            </w:r>
          </w:p>
          <w:p w14:paraId="601EAFDD" w14:textId="022F5AF9" w:rsidR="00E93A2B" w:rsidRDefault="00E93A2B" w:rsidP="00E93A2B">
            <w:pPr>
              <w:spacing w:after="160" w:line="278" w:lineRule="auto"/>
              <w:rPr>
                <w:sz w:val="24"/>
                <w:szCs w:val="24"/>
              </w:rPr>
            </w:pPr>
            <w:r w:rsidRPr="00CE4E4C">
              <w:rPr>
                <w:sz w:val="24"/>
                <w:szCs w:val="24"/>
              </w:rPr>
              <w:t>This policy covers:</w:t>
            </w:r>
          </w:p>
          <w:p w14:paraId="3BBAF3A7" w14:textId="7729A012" w:rsidR="001E5D69" w:rsidRPr="00AD6CBA" w:rsidRDefault="008B391B" w:rsidP="00AD6CBA">
            <w:pPr>
              <w:pStyle w:val="ListParagraph"/>
              <w:numPr>
                <w:ilvl w:val="0"/>
                <w:numId w:val="42"/>
              </w:numPr>
              <w:spacing w:after="160" w:line="278" w:lineRule="auto"/>
              <w:rPr>
                <w:sz w:val="24"/>
                <w:szCs w:val="24"/>
              </w:rPr>
            </w:pPr>
            <w:proofErr w:type="gramStart"/>
            <w:r w:rsidRPr="00AD6CBA">
              <w:rPr>
                <w:sz w:val="24"/>
                <w:szCs w:val="24"/>
              </w:rPr>
              <w:t xml:space="preserve">All </w:t>
            </w:r>
            <w:r w:rsidR="00A05F90">
              <w:rPr>
                <w:sz w:val="24"/>
                <w:szCs w:val="24"/>
              </w:rPr>
              <w:t>of</w:t>
            </w:r>
            <w:proofErr w:type="gramEnd"/>
            <w:r w:rsidR="00A05F90">
              <w:rPr>
                <w:sz w:val="24"/>
                <w:szCs w:val="24"/>
              </w:rPr>
              <w:t xml:space="preserve"> </w:t>
            </w:r>
            <w:r w:rsidR="00B256D4">
              <w:rPr>
                <w:sz w:val="24"/>
                <w:szCs w:val="24"/>
              </w:rPr>
              <w:t>the charities</w:t>
            </w:r>
            <w:r w:rsidR="00A05F90">
              <w:rPr>
                <w:sz w:val="24"/>
                <w:szCs w:val="24"/>
              </w:rPr>
              <w:t xml:space="preserve"> research programmes</w:t>
            </w:r>
            <w:r w:rsidR="008400BE">
              <w:rPr>
                <w:sz w:val="24"/>
                <w:szCs w:val="24"/>
              </w:rPr>
              <w:t>, Public Patient Involvement and Engagement, and other organisational activities</w:t>
            </w:r>
            <w:r w:rsidRPr="00AD6CBA">
              <w:rPr>
                <w:sz w:val="24"/>
                <w:szCs w:val="24"/>
              </w:rPr>
              <w:t>.</w:t>
            </w:r>
          </w:p>
          <w:p w14:paraId="24411E59" w14:textId="77777777" w:rsidR="00CF3C47" w:rsidRDefault="00CF3C47" w:rsidP="00CF3C47">
            <w:pPr>
              <w:pStyle w:val="ListParagraph"/>
              <w:numPr>
                <w:ilvl w:val="0"/>
                <w:numId w:val="33"/>
              </w:numPr>
              <w:spacing w:after="160" w:line="278" w:lineRule="auto"/>
              <w:rPr>
                <w:sz w:val="24"/>
                <w:szCs w:val="24"/>
              </w:rPr>
            </w:pPr>
            <w:r>
              <w:rPr>
                <w:sz w:val="24"/>
                <w:szCs w:val="24"/>
              </w:rPr>
              <w:t>S</w:t>
            </w:r>
            <w:r w:rsidR="008B391B" w:rsidRPr="008B391B">
              <w:rPr>
                <w:sz w:val="24"/>
                <w:szCs w:val="24"/>
              </w:rPr>
              <w:t>takeholders involved in the development and implementation of funded research projects.</w:t>
            </w:r>
          </w:p>
          <w:p w14:paraId="043D18CB" w14:textId="33862B0F" w:rsidR="00E93A2B" w:rsidRPr="00CF3C47" w:rsidRDefault="00E93A2B" w:rsidP="00CF3C47">
            <w:pPr>
              <w:pStyle w:val="ListParagraph"/>
              <w:numPr>
                <w:ilvl w:val="0"/>
                <w:numId w:val="33"/>
              </w:numPr>
              <w:spacing w:after="160" w:line="278" w:lineRule="auto"/>
              <w:rPr>
                <w:sz w:val="24"/>
                <w:szCs w:val="24"/>
              </w:rPr>
            </w:pPr>
            <w:r w:rsidRPr="00CF3C47">
              <w:rPr>
                <w:sz w:val="24"/>
                <w:szCs w:val="24"/>
              </w:rPr>
              <w:t>Recruitment, employment, and volunteer opportunities.</w:t>
            </w:r>
          </w:p>
        </w:tc>
      </w:tr>
      <w:tr w:rsidR="00E93A2B" w:rsidRPr="00CE4E4C" w14:paraId="50BFA4FC" w14:textId="77777777" w:rsidTr="00E1763C">
        <w:tc>
          <w:tcPr>
            <w:tcW w:w="2416" w:type="dxa"/>
          </w:tcPr>
          <w:p w14:paraId="0094E2F2" w14:textId="77777777" w:rsidR="00E93A2B" w:rsidRPr="00CE4E4C" w:rsidRDefault="00E93A2B" w:rsidP="00E93A2B">
            <w:pPr>
              <w:spacing w:after="160" w:line="278" w:lineRule="auto"/>
              <w:rPr>
                <w:rFonts w:cstheme="minorHAnsi"/>
                <w:b/>
                <w:bCs/>
                <w:sz w:val="24"/>
                <w:szCs w:val="24"/>
              </w:rPr>
            </w:pPr>
            <w:r w:rsidRPr="00CE4E4C">
              <w:rPr>
                <w:rFonts w:cstheme="minorHAnsi"/>
                <w:b/>
                <w:bCs/>
                <w:sz w:val="24"/>
                <w:szCs w:val="24"/>
              </w:rPr>
              <w:t>Principles</w:t>
            </w:r>
          </w:p>
          <w:p w14:paraId="7FE9A1DB" w14:textId="77777777" w:rsidR="00E93A2B" w:rsidRPr="00CE4E4C" w:rsidRDefault="00E93A2B" w:rsidP="00CA68E8">
            <w:pPr>
              <w:spacing w:before="100" w:beforeAutospacing="1" w:after="100" w:afterAutospacing="1"/>
              <w:rPr>
                <w:rFonts w:cstheme="minorHAnsi"/>
                <w:b/>
                <w:sz w:val="24"/>
                <w:szCs w:val="24"/>
              </w:rPr>
            </w:pPr>
          </w:p>
        </w:tc>
        <w:tc>
          <w:tcPr>
            <w:tcW w:w="6657" w:type="dxa"/>
          </w:tcPr>
          <w:p w14:paraId="38BBF885" w14:textId="3EF3A385" w:rsidR="00AA0AE2" w:rsidRPr="00AA0AE2" w:rsidRDefault="00AA0AE2" w:rsidP="00AA0AE2">
            <w:pPr>
              <w:spacing w:after="160" w:line="278" w:lineRule="auto"/>
              <w:rPr>
                <w:rFonts w:cstheme="minorHAnsi"/>
                <w:sz w:val="24"/>
                <w:szCs w:val="24"/>
              </w:rPr>
            </w:pPr>
            <w:r>
              <w:rPr>
                <w:rFonts w:cstheme="minorHAnsi"/>
                <w:sz w:val="24"/>
                <w:szCs w:val="24"/>
              </w:rPr>
              <w:lastRenderedPageBreak/>
              <w:t>Breakthrough</w:t>
            </w:r>
            <w:r w:rsidRPr="00AA0AE2">
              <w:rPr>
                <w:rFonts w:cstheme="minorHAnsi"/>
                <w:sz w:val="24"/>
                <w:szCs w:val="24"/>
              </w:rPr>
              <w:t xml:space="preserve"> is committed to the following principles:</w:t>
            </w:r>
          </w:p>
          <w:p w14:paraId="1E39C808" w14:textId="77777777" w:rsidR="00AA0AE2" w:rsidRPr="00AA0AE2" w:rsidRDefault="00AA0AE2" w:rsidP="00F80738">
            <w:pPr>
              <w:numPr>
                <w:ilvl w:val="0"/>
                <w:numId w:val="43"/>
              </w:numPr>
              <w:spacing w:after="160" w:line="278" w:lineRule="auto"/>
              <w:rPr>
                <w:rFonts w:cstheme="minorHAnsi"/>
                <w:sz w:val="24"/>
                <w:szCs w:val="24"/>
              </w:rPr>
            </w:pPr>
            <w:r w:rsidRPr="00AA0AE2">
              <w:rPr>
                <w:rFonts w:cstheme="minorHAnsi"/>
                <w:b/>
                <w:bCs/>
                <w:sz w:val="24"/>
                <w:szCs w:val="24"/>
              </w:rPr>
              <w:lastRenderedPageBreak/>
              <w:t>Equal Access to Funding</w:t>
            </w:r>
            <w:r w:rsidRPr="00AA0AE2">
              <w:rPr>
                <w:rFonts w:cstheme="minorHAnsi"/>
                <w:sz w:val="24"/>
                <w:szCs w:val="24"/>
              </w:rPr>
              <w:t>: We ensure that all applicants, regardless of gender, have equal access to research funding opportunities. Funding decisions will be based on merit and quality of the research proposal, not gender.</w:t>
            </w:r>
          </w:p>
          <w:p w14:paraId="29BB99D9" w14:textId="77777777" w:rsidR="00AA0AE2" w:rsidRPr="00AA0AE2" w:rsidRDefault="00AA0AE2" w:rsidP="00F80738">
            <w:pPr>
              <w:numPr>
                <w:ilvl w:val="0"/>
                <w:numId w:val="43"/>
              </w:numPr>
              <w:spacing w:after="160" w:line="278" w:lineRule="auto"/>
              <w:rPr>
                <w:rFonts w:cstheme="minorHAnsi"/>
                <w:sz w:val="24"/>
                <w:szCs w:val="24"/>
              </w:rPr>
            </w:pPr>
            <w:r w:rsidRPr="00AA0AE2">
              <w:rPr>
                <w:rFonts w:cstheme="minorHAnsi"/>
                <w:b/>
                <w:bCs/>
                <w:sz w:val="24"/>
                <w:szCs w:val="24"/>
              </w:rPr>
              <w:t>Gender Inclusivity</w:t>
            </w:r>
            <w:r w:rsidRPr="00AA0AE2">
              <w:rPr>
                <w:rFonts w:cstheme="minorHAnsi"/>
                <w:sz w:val="24"/>
                <w:szCs w:val="24"/>
              </w:rPr>
              <w:t>: We recognize and respect the diversity of gender identities, and we will support research that explores the needs, experiences, and challenges of all genders. This includes promoting the inclusion of non-binary, transgender, and gender-nonconforming individuals in research and in the research process.</w:t>
            </w:r>
          </w:p>
          <w:p w14:paraId="1D09E37D" w14:textId="20EDE428" w:rsidR="00AA0AE2" w:rsidRPr="00AA0AE2" w:rsidRDefault="00AA0AE2" w:rsidP="00F80738">
            <w:pPr>
              <w:numPr>
                <w:ilvl w:val="0"/>
                <w:numId w:val="43"/>
              </w:numPr>
              <w:spacing w:after="160" w:line="278" w:lineRule="auto"/>
              <w:rPr>
                <w:rFonts w:cstheme="minorHAnsi"/>
                <w:sz w:val="24"/>
                <w:szCs w:val="24"/>
              </w:rPr>
            </w:pPr>
            <w:r w:rsidRPr="00AA0AE2">
              <w:rPr>
                <w:rFonts w:cstheme="minorHAnsi"/>
                <w:b/>
                <w:bCs/>
                <w:sz w:val="24"/>
                <w:szCs w:val="24"/>
              </w:rPr>
              <w:t>Gender Sensitivity in Research</w:t>
            </w:r>
            <w:r w:rsidRPr="00AA0AE2">
              <w:rPr>
                <w:rFonts w:cstheme="minorHAnsi"/>
                <w:sz w:val="24"/>
                <w:szCs w:val="24"/>
              </w:rPr>
              <w:t xml:space="preserve">: We encourage and support research that considers the impact of gender on the outcomes, participants, and beneficiaries of the study. All research funded by </w:t>
            </w:r>
            <w:r w:rsidR="006D52F6">
              <w:rPr>
                <w:rFonts w:cstheme="minorHAnsi"/>
                <w:sz w:val="24"/>
                <w:szCs w:val="24"/>
              </w:rPr>
              <w:t>Breakthrough</w:t>
            </w:r>
            <w:r w:rsidRPr="00AA0AE2">
              <w:rPr>
                <w:rFonts w:cstheme="minorHAnsi"/>
                <w:sz w:val="24"/>
                <w:szCs w:val="24"/>
              </w:rPr>
              <w:t xml:space="preserve"> should, where relevant, include a gender analysis to ensure that the research addresses and accounts for gender disparities.</w:t>
            </w:r>
          </w:p>
          <w:p w14:paraId="1F68FB18" w14:textId="77777777" w:rsidR="00AA0AE2" w:rsidRPr="00B256D4" w:rsidRDefault="00AA0AE2" w:rsidP="00F80738">
            <w:pPr>
              <w:numPr>
                <w:ilvl w:val="0"/>
                <w:numId w:val="43"/>
              </w:numPr>
              <w:spacing w:after="160" w:line="278" w:lineRule="auto"/>
              <w:rPr>
                <w:rFonts w:cstheme="minorHAnsi"/>
                <w:sz w:val="24"/>
                <w:szCs w:val="24"/>
              </w:rPr>
            </w:pPr>
            <w:r w:rsidRPr="00AA0AE2">
              <w:rPr>
                <w:rFonts w:cstheme="minorHAnsi"/>
                <w:b/>
                <w:bCs/>
                <w:sz w:val="24"/>
                <w:szCs w:val="24"/>
              </w:rPr>
              <w:t>Promoting Gender Balance in Research Teams</w:t>
            </w:r>
            <w:r w:rsidRPr="00AA0AE2">
              <w:rPr>
                <w:rFonts w:cstheme="minorHAnsi"/>
                <w:sz w:val="24"/>
                <w:szCs w:val="24"/>
              </w:rPr>
              <w:t xml:space="preserve">: We actively encourage diversity in research </w:t>
            </w:r>
            <w:proofErr w:type="gramStart"/>
            <w:r w:rsidRPr="00AA0AE2">
              <w:rPr>
                <w:rFonts w:cstheme="minorHAnsi"/>
                <w:sz w:val="24"/>
                <w:szCs w:val="24"/>
              </w:rPr>
              <w:t>teams, and</w:t>
            </w:r>
            <w:proofErr w:type="gramEnd"/>
            <w:r w:rsidRPr="00AA0AE2">
              <w:rPr>
                <w:rFonts w:cstheme="minorHAnsi"/>
                <w:sz w:val="24"/>
                <w:szCs w:val="24"/>
              </w:rPr>
              <w:t xml:space="preserve"> seek to support projects that promote gender balance in leadership roles, research design, and implementation.</w:t>
            </w:r>
          </w:p>
          <w:p w14:paraId="40F34C37" w14:textId="1DCD22FE" w:rsidR="00E93A2B" w:rsidRPr="00F80738" w:rsidRDefault="00F80738" w:rsidP="00AA0AE2">
            <w:pPr>
              <w:numPr>
                <w:ilvl w:val="0"/>
                <w:numId w:val="43"/>
              </w:numPr>
              <w:spacing w:after="160" w:line="278" w:lineRule="auto"/>
            </w:pPr>
            <w:r w:rsidRPr="00EB352D">
              <w:rPr>
                <w:b/>
                <w:bCs/>
                <w:sz w:val="24"/>
                <w:szCs w:val="24"/>
              </w:rPr>
              <w:t>Addressing Gender Bias</w:t>
            </w:r>
            <w:r w:rsidRPr="00EB352D">
              <w:rPr>
                <w:sz w:val="24"/>
                <w:szCs w:val="24"/>
              </w:rPr>
              <w:t>: We are committed to identifying, challenging, and eliminating gender biases in the research process. This includes raising awareness among funded researchers about the potential for gender bias in data collection, analysis, and interpretation.</w:t>
            </w:r>
          </w:p>
        </w:tc>
      </w:tr>
      <w:tr w:rsidR="00E93A2B" w:rsidRPr="00CE4E4C" w14:paraId="2F77C68E" w14:textId="77777777" w:rsidTr="00E1763C">
        <w:tc>
          <w:tcPr>
            <w:tcW w:w="2416" w:type="dxa"/>
          </w:tcPr>
          <w:p w14:paraId="487F0595" w14:textId="77777777" w:rsidR="00E93A2B" w:rsidRPr="00233962" w:rsidRDefault="00E93A2B" w:rsidP="00E93A2B">
            <w:pPr>
              <w:spacing w:after="160" w:line="278" w:lineRule="auto"/>
              <w:rPr>
                <w:rFonts w:cstheme="minorHAnsi"/>
                <w:b/>
                <w:bCs/>
                <w:sz w:val="24"/>
                <w:szCs w:val="24"/>
              </w:rPr>
            </w:pPr>
            <w:r w:rsidRPr="00233962">
              <w:rPr>
                <w:rFonts w:cstheme="minorHAnsi"/>
                <w:b/>
                <w:bCs/>
                <w:sz w:val="24"/>
                <w:szCs w:val="24"/>
              </w:rPr>
              <w:lastRenderedPageBreak/>
              <w:t>Responsibilities</w:t>
            </w:r>
          </w:p>
          <w:p w14:paraId="63292A91" w14:textId="77777777" w:rsidR="00E93A2B" w:rsidRPr="00233962" w:rsidRDefault="00E93A2B" w:rsidP="00CA68E8">
            <w:pPr>
              <w:spacing w:before="100" w:beforeAutospacing="1" w:after="100" w:afterAutospacing="1"/>
              <w:rPr>
                <w:rFonts w:cstheme="minorHAnsi"/>
                <w:b/>
                <w:sz w:val="24"/>
                <w:szCs w:val="24"/>
              </w:rPr>
            </w:pPr>
          </w:p>
        </w:tc>
        <w:tc>
          <w:tcPr>
            <w:tcW w:w="6657" w:type="dxa"/>
          </w:tcPr>
          <w:p w14:paraId="3D52E068" w14:textId="2F3BD7D5" w:rsidR="00E93A2B" w:rsidRPr="00233962" w:rsidRDefault="00DF19C3" w:rsidP="005A186D">
            <w:pPr>
              <w:spacing w:after="160" w:line="278" w:lineRule="auto"/>
              <w:rPr>
                <w:sz w:val="24"/>
                <w:szCs w:val="24"/>
              </w:rPr>
            </w:pPr>
            <w:r w:rsidRPr="00EB352D">
              <w:rPr>
                <w:sz w:val="24"/>
                <w:szCs w:val="24"/>
              </w:rPr>
              <w:t xml:space="preserve">The </w:t>
            </w:r>
            <w:r w:rsidR="005A186D" w:rsidRPr="00233962">
              <w:rPr>
                <w:sz w:val="24"/>
                <w:szCs w:val="24"/>
              </w:rPr>
              <w:t xml:space="preserve">Chief </w:t>
            </w:r>
            <w:r w:rsidRPr="00EB352D">
              <w:rPr>
                <w:sz w:val="24"/>
                <w:szCs w:val="24"/>
              </w:rPr>
              <w:t xml:space="preserve">Executive, with the support of the Board of </w:t>
            </w:r>
            <w:r w:rsidR="00CA79C7" w:rsidRPr="00233962">
              <w:rPr>
                <w:sz w:val="24"/>
                <w:szCs w:val="24"/>
              </w:rPr>
              <w:t>Directors</w:t>
            </w:r>
            <w:r w:rsidRPr="00EB352D">
              <w:rPr>
                <w:sz w:val="24"/>
                <w:szCs w:val="24"/>
              </w:rPr>
              <w:t xml:space="preserve">, will be responsible for ensuring the implementation of this policy. </w:t>
            </w:r>
            <w:r w:rsidR="00E71717" w:rsidRPr="00233962">
              <w:rPr>
                <w:sz w:val="24"/>
                <w:szCs w:val="24"/>
              </w:rPr>
              <w:t xml:space="preserve">The Research Manager </w:t>
            </w:r>
            <w:r w:rsidR="0035337A" w:rsidRPr="00233962">
              <w:rPr>
                <w:sz w:val="24"/>
                <w:szCs w:val="24"/>
              </w:rPr>
              <w:t xml:space="preserve">is responsible for ensuring the implementation of this policy within all research activities. </w:t>
            </w:r>
            <w:r w:rsidRPr="00EB352D">
              <w:rPr>
                <w:sz w:val="24"/>
                <w:szCs w:val="24"/>
              </w:rPr>
              <w:t>All staff members are encouraged to</w:t>
            </w:r>
            <w:r w:rsidR="00E71717" w:rsidRPr="00233962">
              <w:rPr>
                <w:sz w:val="24"/>
                <w:szCs w:val="24"/>
              </w:rPr>
              <w:t xml:space="preserve"> </w:t>
            </w:r>
            <w:r w:rsidRPr="00EB352D">
              <w:rPr>
                <w:sz w:val="24"/>
                <w:szCs w:val="24"/>
              </w:rPr>
              <w:t>raise any concerns related to gender equality, and any cases of gender discrimination or bias will be addressed promptly through the charity's grievance procedures.</w:t>
            </w:r>
          </w:p>
        </w:tc>
      </w:tr>
      <w:tr w:rsidR="00E93A2B" w:rsidRPr="00CE4E4C" w14:paraId="15DCA630" w14:textId="77777777" w:rsidTr="00E1763C">
        <w:tc>
          <w:tcPr>
            <w:tcW w:w="2416" w:type="dxa"/>
          </w:tcPr>
          <w:p w14:paraId="74C4E986" w14:textId="2171BBA7" w:rsidR="00E93A2B" w:rsidRPr="00CE4E4C" w:rsidRDefault="00E93A2B" w:rsidP="00E93A2B">
            <w:pPr>
              <w:spacing w:after="160" w:line="278" w:lineRule="auto"/>
              <w:rPr>
                <w:rFonts w:cstheme="minorHAnsi"/>
                <w:b/>
                <w:bCs/>
                <w:sz w:val="24"/>
                <w:szCs w:val="24"/>
              </w:rPr>
            </w:pPr>
            <w:r w:rsidRPr="00CE4E4C">
              <w:rPr>
                <w:rFonts w:cstheme="minorHAnsi"/>
                <w:b/>
                <w:bCs/>
                <w:sz w:val="24"/>
                <w:szCs w:val="24"/>
              </w:rPr>
              <w:t>Implementation</w:t>
            </w:r>
            <w:r w:rsidR="00B256D4">
              <w:rPr>
                <w:rFonts w:cstheme="minorHAnsi"/>
                <w:b/>
                <w:bCs/>
                <w:sz w:val="24"/>
                <w:szCs w:val="24"/>
              </w:rPr>
              <w:t xml:space="preserve"> and Action</w:t>
            </w:r>
          </w:p>
          <w:p w14:paraId="13D89E96" w14:textId="77777777" w:rsidR="00E93A2B" w:rsidRPr="00CE4E4C" w:rsidRDefault="00E93A2B" w:rsidP="00E93A2B">
            <w:pPr>
              <w:spacing w:after="160" w:line="278" w:lineRule="auto"/>
              <w:rPr>
                <w:rFonts w:cstheme="minorHAnsi"/>
                <w:b/>
                <w:bCs/>
                <w:sz w:val="24"/>
                <w:szCs w:val="24"/>
              </w:rPr>
            </w:pPr>
          </w:p>
        </w:tc>
        <w:tc>
          <w:tcPr>
            <w:tcW w:w="6657" w:type="dxa"/>
          </w:tcPr>
          <w:p w14:paraId="75468A40" w14:textId="69757D9D" w:rsidR="00854AC3" w:rsidRPr="00EB352D" w:rsidRDefault="00854AC3" w:rsidP="00854AC3">
            <w:pPr>
              <w:spacing w:after="160" w:line="278" w:lineRule="auto"/>
              <w:rPr>
                <w:sz w:val="24"/>
                <w:szCs w:val="24"/>
              </w:rPr>
            </w:pPr>
            <w:r w:rsidRPr="00EB352D">
              <w:rPr>
                <w:sz w:val="24"/>
                <w:szCs w:val="24"/>
              </w:rPr>
              <w:t xml:space="preserve">To achieve these principles, </w:t>
            </w:r>
            <w:r w:rsidR="00B256D4" w:rsidRPr="00B256D4">
              <w:rPr>
                <w:sz w:val="24"/>
                <w:szCs w:val="24"/>
              </w:rPr>
              <w:t>the charity</w:t>
            </w:r>
            <w:r w:rsidRPr="00EB352D">
              <w:rPr>
                <w:sz w:val="24"/>
                <w:szCs w:val="24"/>
              </w:rPr>
              <w:t xml:space="preserve"> will:</w:t>
            </w:r>
          </w:p>
          <w:p w14:paraId="2E32B1E3" w14:textId="77777777" w:rsidR="00854AC3" w:rsidRPr="00EB352D" w:rsidRDefault="00854AC3" w:rsidP="00854AC3">
            <w:pPr>
              <w:numPr>
                <w:ilvl w:val="0"/>
                <w:numId w:val="45"/>
              </w:numPr>
              <w:spacing w:after="160" w:line="278" w:lineRule="auto"/>
              <w:rPr>
                <w:sz w:val="24"/>
                <w:szCs w:val="24"/>
              </w:rPr>
            </w:pPr>
            <w:r w:rsidRPr="00EB352D">
              <w:rPr>
                <w:b/>
                <w:bCs/>
                <w:sz w:val="24"/>
                <w:szCs w:val="24"/>
              </w:rPr>
              <w:t>Integrate Gender Equality Criteria</w:t>
            </w:r>
            <w:r w:rsidRPr="00EB352D">
              <w:rPr>
                <w:sz w:val="24"/>
                <w:szCs w:val="24"/>
              </w:rPr>
              <w:t xml:space="preserve">: Ensure that gender equality criteria are incorporated into the assessment of all research funding applications. Proposals that do not </w:t>
            </w:r>
            <w:r w:rsidRPr="00EB352D">
              <w:rPr>
                <w:sz w:val="24"/>
                <w:szCs w:val="24"/>
              </w:rPr>
              <w:lastRenderedPageBreak/>
              <w:t>demonstrate a clear consideration of gender issues, where applicable, may be considered less favourably.</w:t>
            </w:r>
          </w:p>
          <w:p w14:paraId="69DF1606" w14:textId="02DCE717" w:rsidR="00854AC3" w:rsidRPr="00EB352D" w:rsidRDefault="00854AC3" w:rsidP="00854AC3">
            <w:pPr>
              <w:numPr>
                <w:ilvl w:val="0"/>
                <w:numId w:val="45"/>
              </w:numPr>
              <w:spacing w:after="160" w:line="278" w:lineRule="auto"/>
              <w:rPr>
                <w:sz w:val="24"/>
                <w:szCs w:val="24"/>
              </w:rPr>
            </w:pPr>
            <w:r w:rsidRPr="00EB352D">
              <w:rPr>
                <w:b/>
                <w:bCs/>
                <w:sz w:val="24"/>
                <w:szCs w:val="24"/>
              </w:rPr>
              <w:t>Provide Training</w:t>
            </w:r>
            <w:r w:rsidRPr="00EB352D">
              <w:rPr>
                <w:sz w:val="24"/>
                <w:szCs w:val="24"/>
              </w:rPr>
              <w:t xml:space="preserve">: Offer training for staff, </w:t>
            </w:r>
            <w:r w:rsidR="00707464">
              <w:rPr>
                <w:sz w:val="24"/>
                <w:szCs w:val="24"/>
              </w:rPr>
              <w:t>board directors</w:t>
            </w:r>
            <w:r w:rsidRPr="00EB352D">
              <w:rPr>
                <w:sz w:val="24"/>
                <w:szCs w:val="24"/>
              </w:rPr>
              <w:t>, and researchers on gender equality and how it relates to research funding, implementation, and outcomes. This will include understanding gender dynamics, unconscious bias, and the importance of gender-sensitive research.</w:t>
            </w:r>
          </w:p>
          <w:p w14:paraId="2E5CC5BD" w14:textId="77777777" w:rsidR="00854AC3" w:rsidRPr="00EB352D" w:rsidRDefault="00854AC3" w:rsidP="00854AC3">
            <w:pPr>
              <w:numPr>
                <w:ilvl w:val="0"/>
                <w:numId w:val="45"/>
              </w:numPr>
              <w:spacing w:after="160" w:line="278" w:lineRule="auto"/>
              <w:rPr>
                <w:sz w:val="24"/>
                <w:szCs w:val="24"/>
              </w:rPr>
            </w:pPr>
            <w:r w:rsidRPr="00EB352D">
              <w:rPr>
                <w:b/>
                <w:bCs/>
                <w:sz w:val="24"/>
                <w:szCs w:val="24"/>
              </w:rPr>
              <w:t>Promote Gender-Equitable Partnerships</w:t>
            </w:r>
            <w:r w:rsidRPr="00EB352D">
              <w:rPr>
                <w:sz w:val="24"/>
                <w:szCs w:val="24"/>
              </w:rPr>
              <w:t>: Encourage partnerships with organizations, researchers, and institutions that are committed to advancing gender equality in their work.</w:t>
            </w:r>
          </w:p>
          <w:p w14:paraId="381AAA2B" w14:textId="0113F512" w:rsidR="00854AC3" w:rsidRPr="00EB352D" w:rsidRDefault="00854AC3" w:rsidP="00854AC3">
            <w:pPr>
              <w:numPr>
                <w:ilvl w:val="0"/>
                <w:numId w:val="45"/>
              </w:numPr>
              <w:spacing w:after="160" w:line="278" w:lineRule="auto"/>
              <w:rPr>
                <w:sz w:val="24"/>
                <w:szCs w:val="24"/>
              </w:rPr>
            </w:pPr>
            <w:r w:rsidRPr="00EB352D">
              <w:rPr>
                <w:b/>
                <w:bCs/>
                <w:sz w:val="24"/>
                <w:szCs w:val="24"/>
              </w:rPr>
              <w:t>Monitor and Evaluate</w:t>
            </w:r>
            <w:r w:rsidRPr="00EB352D">
              <w:rPr>
                <w:sz w:val="24"/>
                <w:szCs w:val="24"/>
              </w:rPr>
              <w:t>: Regularly monitor and evaluate the effectiveness of this policy in promoting gender equality. This includes assessing gender balance in funded research</w:t>
            </w:r>
            <w:r w:rsidR="00985579">
              <w:rPr>
                <w:sz w:val="24"/>
                <w:szCs w:val="24"/>
              </w:rPr>
              <w:t xml:space="preserve"> programmes</w:t>
            </w:r>
            <w:r w:rsidR="00E10321">
              <w:rPr>
                <w:sz w:val="24"/>
                <w:szCs w:val="24"/>
              </w:rPr>
              <w:t xml:space="preserve"> and projects</w:t>
            </w:r>
            <w:r w:rsidRPr="00EB352D">
              <w:rPr>
                <w:sz w:val="24"/>
                <w:szCs w:val="24"/>
              </w:rPr>
              <w:t xml:space="preserve"> and ensuring that funded projects adequately address gender issues where relevant.</w:t>
            </w:r>
          </w:p>
          <w:p w14:paraId="7848A486" w14:textId="6BD70138" w:rsidR="00E93A2B" w:rsidRPr="00E10321" w:rsidRDefault="00854AC3" w:rsidP="00E10321">
            <w:pPr>
              <w:numPr>
                <w:ilvl w:val="0"/>
                <w:numId w:val="45"/>
              </w:numPr>
              <w:spacing w:after="160" w:line="278" w:lineRule="auto"/>
              <w:rPr>
                <w:sz w:val="24"/>
                <w:szCs w:val="24"/>
              </w:rPr>
            </w:pPr>
            <w:r w:rsidRPr="00EB352D">
              <w:rPr>
                <w:b/>
                <w:bCs/>
                <w:sz w:val="24"/>
                <w:szCs w:val="24"/>
              </w:rPr>
              <w:t>Transparency and Reporting</w:t>
            </w:r>
            <w:r w:rsidRPr="00EB352D">
              <w:rPr>
                <w:sz w:val="24"/>
                <w:szCs w:val="24"/>
              </w:rPr>
              <w:t>: Maintain transparency in funding decisions and report on the progress of gender equality initiatives within the charity. We will provide regular updates on how gender considerations are being integrated into the research we support.</w:t>
            </w:r>
          </w:p>
        </w:tc>
      </w:tr>
      <w:tr w:rsidR="00E93A2B" w:rsidRPr="00CE4E4C" w14:paraId="355F7FAF" w14:textId="77777777" w:rsidTr="00E1763C">
        <w:tc>
          <w:tcPr>
            <w:tcW w:w="2416" w:type="dxa"/>
          </w:tcPr>
          <w:p w14:paraId="75C7E6E1" w14:textId="77777777" w:rsidR="00E93A2B" w:rsidRPr="00CE4E4C" w:rsidRDefault="00E93A2B" w:rsidP="00E93A2B">
            <w:pPr>
              <w:spacing w:after="160" w:line="278" w:lineRule="auto"/>
              <w:rPr>
                <w:rFonts w:cstheme="minorHAnsi"/>
                <w:b/>
                <w:bCs/>
                <w:sz w:val="24"/>
                <w:szCs w:val="24"/>
              </w:rPr>
            </w:pPr>
            <w:r w:rsidRPr="00CE4E4C">
              <w:rPr>
                <w:rFonts w:cstheme="minorHAnsi"/>
                <w:b/>
                <w:bCs/>
                <w:sz w:val="24"/>
                <w:szCs w:val="24"/>
              </w:rPr>
              <w:lastRenderedPageBreak/>
              <w:t>Monitoring and Review</w:t>
            </w:r>
          </w:p>
          <w:p w14:paraId="645F1883" w14:textId="77777777" w:rsidR="00E93A2B" w:rsidRPr="00CE4E4C" w:rsidRDefault="00E93A2B" w:rsidP="00E93A2B">
            <w:pPr>
              <w:spacing w:after="160" w:line="278" w:lineRule="auto"/>
              <w:rPr>
                <w:rFonts w:cstheme="minorHAnsi"/>
                <w:b/>
                <w:bCs/>
                <w:sz w:val="24"/>
                <w:szCs w:val="24"/>
              </w:rPr>
            </w:pPr>
          </w:p>
        </w:tc>
        <w:tc>
          <w:tcPr>
            <w:tcW w:w="6657" w:type="dxa"/>
          </w:tcPr>
          <w:p w14:paraId="6C7CED98" w14:textId="53B0701C" w:rsidR="00E93A2B" w:rsidRPr="00A73867" w:rsidRDefault="00E93A2B" w:rsidP="00E93A2B">
            <w:pPr>
              <w:spacing w:after="160" w:line="278" w:lineRule="auto"/>
              <w:rPr>
                <w:sz w:val="24"/>
                <w:szCs w:val="24"/>
              </w:rPr>
            </w:pPr>
            <w:r w:rsidRPr="00A73867">
              <w:rPr>
                <w:rFonts w:cstheme="minorHAnsi"/>
                <w:sz w:val="24"/>
                <w:szCs w:val="24"/>
              </w:rPr>
              <w:t xml:space="preserve">Breakthrough Cancer Research will review this policy in Q1 of each year </w:t>
            </w:r>
            <w:r w:rsidR="00A73867" w:rsidRPr="00EB352D">
              <w:rPr>
                <w:sz w:val="24"/>
                <w:szCs w:val="24"/>
              </w:rPr>
              <w:t>to ensure its effectiveness and to adapt to any changes in legislation, best practices, or organizational priorities. Feedback from staff, researchers, and other stakeholders will be considered in any revisions.</w:t>
            </w:r>
          </w:p>
          <w:p w14:paraId="2F3C3F92" w14:textId="05989A65" w:rsidR="00E93A2B" w:rsidRPr="00A73867" w:rsidRDefault="00E93A2B" w:rsidP="00E93A2B">
            <w:pPr>
              <w:spacing w:after="160" w:line="278" w:lineRule="auto"/>
              <w:rPr>
                <w:rFonts w:cstheme="minorHAnsi"/>
                <w:sz w:val="24"/>
                <w:szCs w:val="24"/>
              </w:rPr>
            </w:pPr>
            <w:r w:rsidRPr="00A73867">
              <w:rPr>
                <w:rFonts w:cstheme="minorHAnsi"/>
                <w:sz w:val="24"/>
                <w:szCs w:val="24"/>
              </w:rPr>
              <w:t>This policy is reviewed annually by the Board of Directors.</w:t>
            </w:r>
          </w:p>
        </w:tc>
      </w:tr>
    </w:tbl>
    <w:p w14:paraId="5CD13A19" w14:textId="77777777" w:rsidR="00E93A2B" w:rsidRPr="00CE4E4C" w:rsidRDefault="00E93A2B" w:rsidP="00D635D8">
      <w:pPr>
        <w:spacing w:before="120" w:after="120" w:line="240" w:lineRule="auto"/>
        <w:rPr>
          <w:rFonts w:eastAsia="Times New Roman" w:cstheme="minorHAnsi"/>
          <w:bCs/>
          <w:color w:val="000000" w:themeColor="text1"/>
          <w:sz w:val="24"/>
          <w:szCs w:val="24"/>
          <w:lang w:eastAsia="en-IE"/>
        </w:rPr>
      </w:pPr>
    </w:p>
    <w:sectPr w:rsidR="00E93A2B" w:rsidRPr="00CE4E4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2A76" w14:textId="77777777" w:rsidR="00F44E31" w:rsidRDefault="00F44E31" w:rsidP="00140C4A">
      <w:pPr>
        <w:spacing w:after="0" w:line="240" w:lineRule="auto"/>
      </w:pPr>
      <w:r>
        <w:separator/>
      </w:r>
    </w:p>
  </w:endnote>
  <w:endnote w:type="continuationSeparator" w:id="0">
    <w:p w14:paraId="2E3DD807" w14:textId="77777777" w:rsidR="00F44E31" w:rsidRDefault="00F44E31" w:rsidP="0014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1993" w14:textId="77777777" w:rsidR="00ED6C76" w:rsidRDefault="00ED6C76">
    <w:pPr>
      <w:tabs>
        <w:tab w:val="center" w:pos="4550"/>
        <w:tab w:val="left" w:pos="5818"/>
      </w:tabs>
      <w:ind w:right="260"/>
      <w:jc w:val="right"/>
      <w:rPr>
        <w:color w:val="222A35" w:themeColor="text2" w:themeShade="80"/>
        <w:sz w:val="24"/>
        <w:szCs w:val="24"/>
      </w:rPr>
    </w:pPr>
    <w:r w:rsidRPr="00140C4A">
      <w:rPr>
        <w:color w:val="70AD47" w:themeColor="accent6"/>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C510E9">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C510E9">
      <w:rPr>
        <w:noProof/>
        <w:color w:val="323E4F" w:themeColor="text2" w:themeShade="BF"/>
        <w:sz w:val="24"/>
        <w:szCs w:val="24"/>
      </w:rPr>
      <w:t>11</w:t>
    </w:r>
    <w:r>
      <w:rPr>
        <w:color w:val="323E4F" w:themeColor="text2" w:themeShade="BF"/>
        <w:sz w:val="24"/>
        <w:szCs w:val="24"/>
      </w:rPr>
      <w:fldChar w:fldCharType="end"/>
    </w:r>
  </w:p>
  <w:p w14:paraId="043D1994" w14:textId="77777777" w:rsidR="00ED6C76" w:rsidRDefault="00ED6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3EEA" w14:textId="77777777" w:rsidR="00F44E31" w:rsidRDefault="00F44E31" w:rsidP="00140C4A">
      <w:pPr>
        <w:spacing w:after="0" w:line="240" w:lineRule="auto"/>
      </w:pPr>
      <w:r>
        <w:separator/>
      </w:r>
    </w:p>
  </w:footnote>
  <w:footnote w:type="continuationSeparator" w:id="0">
    <w:p w14:paraId="3DE208C8" w14:textId="77777777" w:rsidR="00F44E31" w:rsidRDefault="00F44E31" w:rsidP="00140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B16"/>
    <w:multiLevelType w:val="hybridMultilevel"/>
    <w:tmpl w:val="C5EEBC5E"/>
    <w:lvl w:ilvl="0" w:tplc="0122D4F8">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161591"/>
    <w:multiLevelType w:val="multilevel"/>
    <w:tmpl w:val="3300E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D1780"/>
    <w:multiLevelType w:val="multilevel"/>
    <w:tmpl w:val="8B04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33101"/>
    <w:multiLevelType w:val="multilevel"/>
    <w:tmpl w:val="441C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54E2D"/>
    <w:multiLevelType w:val="hybridMultilevel"/>
    <w:tmpl w:val="C0DAF08E"/>
    <w:lvl w:ilvl="0" w:tplc="4EF0D0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949A8"/>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73040F8"/>
    <w:multiLevelType w:val="hybridMultilevel"/>
    <w:tmpl w:val="66704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4748E0"/>
    <w:multiLevelType w:val="hybridMultilevel"/>
    <w:tmpl w:val="0F2094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B53D8F"/>
    <w:multiLevelType w:val="hybridMultilevel"/>
    <w:tmpl w:val="AF5A9C02"/>
    <w:lvl w:ilvl="0" w:tplc="5644F824">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C01A8"/>
    <w:multiLevelType w:val="multilevel"/>
    <w:tmpl w:val="7700C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E5F68"/>
    <w:multiLevelType w:val="multilevel"/>
    <w:tmpl w:val="5D1A25E2"/>
    <w:lvl w:ilvl="0">
      <w:start w:val="1"/>
      <w:numFmt w:val="decimal"/>
      <w:lvlText w:val="%1."/>
      <w:lvlJc w:val="left"/>
      <w:pPr>
        <w:ind w:left="720" w:hanging="360"/>
      </w:pPr>
      <w:rPr>
        <w:rFonts w:eastAsiaTheme="minorHAnsi" w:cstheme="minorBid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DB203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1A85C08"/>
    <w:multiLevelType w:val="hybridMultilevel"/>
    <w:tmpl w:val="DB3E7492"/>
    <w:lvl w:ilvl="0" w:tplc="18090001">
      <w:start w:val="1"/>
      <w:numFmt w:val="bullet"/>
      <w:lvlText w:val=""/>
      <w:lvlJc w:val="left"/>
      <w:pPr>
        <w:ind w:left="1515" w:hanging="360"/>
      </w:pPr>
      <w:rPr>
        <w:rFonts w:ascii="Symbol" w:hAnsi="Symbol" w:hint="default"/>
      </w:rPr>
    </w:lvl>
    <w:lvl w:ilvl="1" w:tplc="18090003" w:tentative="1">
      <w:start w:val="1"/>
      <w:numFmt w:val="bullet"/>
      <w:lvlText w:val="o"/>
      <w:lvlJc w:val="left"/>
      <w:pPr>
        <w:ind w:left="2235" w:hanging="360"/>
      </w:pPr>
      <w:rPr>
        <w:rFonts w:ascii="Courier New" w:hAnsi="Courier New" w:cs="Courier New" w:hint="default"/>
      </w:rPr>
    </w:lvl>
    <w:lvl w:ilvl="2" w:tplc="18090005" w:tentative="1">
      <w:start w:val="1"/>
      <w:numFmt w:val="bullet"/>
      <w:lvlText w:val=""/>
      <w:lvlJc w:val="left"/>
      <w:pPr>
        <w:ind w:left="2955" w:hanging="360"/>
      </w:pPr>
      <w:rPr>
        <w:rFonts w:ascii="Wingdings" w:hAnsi="Wingdings" w:hint="default"/>
      </w:rPr>
    </w:lvl>
    <w:lvl w:ilvl="3" w:tplc="18090001" w:tentative="1">
      <w:start w:val="1"/>
      <w:numFmt w:val="bullet"/>
      <w:lvlText w:val=""/>
      <w:lvlJc w:val="left"/>
      <w:pPr>
        <w:ind w:left="3675" w:hanging="360"/>
      </w:pPr>
      <w:rPr>
        <w:rFonts w:ascii="Symbol" w:hAnsi="Symbol" w:hint="default"/>
      </w:rPr>
    </w:lvl>
    <w:lvl w:ilvl="4" w:tplc="18090003" w:tentative="1">
      <w:start w:val="1"/>
      <w:numFmt w:val="bullet"/>
      <w:lvlText w:val="o"/>
      <w:lvlJc w:val="left"/>
      <w:pPr>
        <w:ind w:left="4395" w:hanging="360"/>
      </w:pPr>
      <w:rPr>
        <w:rFonts w:ascii="Courier New" w:hAnsi="Courier New" w:cs="Courier New" w:hint="default"/>
      </w:rPr>
    </w:lvl>
    <w:lvl w:ilvl="5" w:tplc="18090005" w:tentative="1">
      <w:start w:val="1"/>
      <w:numFmt w:val="bullet"/>
      <w:lvlText w:val=""/>
      <w:lvlJc w:val="left"/>
      <w:pPr>
        <w:ind w:left="5115" w:hanging="360"/>
      </w:pPr>
      <w:rPr>
        <w:rFonts w:ascii="Wingdings" w:hAnsi="Wingdings" w:hint="default"/>
      </w:rPr>
    </w:lvl>
    <w:lvl w:ilvl="6" w:tplc="18090001" w:tentative="1">
      <w:start w:val="1"/>
      <w:numFmt w:val="bullet"/>
      <w:lvlText w:val=""/>
      <w:lvlJc w:val="left"/>
      <w:pPr>
        <w:ind w:left="5835" w:hanging="360"/>
      </w:pPr>
      <w:rPr>
        <w:rFonts w:ascii="Symbol" w:hAnsi="Symbol" w:hint="default"/>
      </w:rPr>
    </w:lvl>
    <w:lvl w:ilvl="7" w:tplc="18090003" w:tentative="1">
      <w:start w:val="1"/>
      <w:numFmt w:val="bullet"/>
      <w:lvlText w:val="o"/>
      <w:lvlJc w:val="left"/>
      <w:pPr>
        <w:ind w:left="6555" w:hanging="360"/>
      </w:pPr>
      <w:rPr>
        <w:rFonts w:ascii="Courier New" w:hAnsi="Courier New" w:cs="Courier New" w:hint="default"/>
      </w:rPr>
    </w:lvl>
    <w:lvl w:ilvl="8" w:tplc="18090005" w:tentative="1">
      <w:start w:val="1"/>
      <w:numFmt w:val="bullet"/>
      <w:lvlText w:val=""/>
      <w:lvlJc w:val="left"/>
      <w:pPr>
        <w:ind w:left="7275" w:hanging="360"/>
      </w:pPr>
      <w:rPr>
        <w:rFonts w:ascii="Wingdings" w:hAnsi="Wingdings" w:hint="default"/>
      </w:rPr>
    </w:lvl>
  </w:abstractNum>
  <w:abstractNum w:abstractNumId="13" w15:restartNumberingAfterBreak="0">
    <w:nsid w:val="228D231A"/>
    <w:multiLevelType w:val="hybridMultilevel"/>
    <w:tmpl w:val="ADAE9E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210B37"/>
    <w:multiLevelType w:val="hybridMultilevel"/>
    <w:tmpl w:val="D94E12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2064FBA"/>
    <w:multiLevelType w:val="hybridMultilevel"/>
    <w:tmpl w:val="B26C86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5BD4345"/>
    <w:multiLevelType w:val="hybridMultilevel"/>
    <w:tmpl w:val="C5EEBC5E"/>
    <w:lvl w:ilvl="0" w:tplc="0122D4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AF931D3"/>
    <w:multiLevelType w:val="hybridMultilevel"/>
    <w:tmpl w:val="6CD250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BDE765E"/>
    <w:multiLevelType w:val="hybridMultilevel"/>
    <w:tmpl w:val="9A6E02E6"/>
    <w:lvl w:ilvl="0" w:tplc="56A2F38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984E72"/>
    <w:multiLevelType w:val="hybridMultilevel"/>
    <w:tmpl w:val="5D20FFE6"/>
    <w:lvl w:ilvl="0" w:tplc="B56EC46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33A5380"/>
    <w:multiLevelType w:val="multilevel"/>
    <w:tmpl w:val="32321E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E30C04"/>
    <w:multiLevelType w:val="multilevel"/>
    <w:tmpl w:val="441C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B08A5"/>
    <w:multiLevelType w:val="multilevel"/>
    <w:tmpl w:val="9524320C"/>
    <w:lvl w:ilvl="0">
      <w:start w:val="4"/>
      <w:numFmt w:val="decimal"/>
      <w:lvlText w:val="%1."/>
      <w:lvlJc w:val="left"/>
      <w:pPr>
        <w:ind w:left="540" w:hanging="54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5981325"/>
    <w:multiLevelType w:val="multilevel"/>
    <w:tmpl w:val="7A64DD9A"/>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4" w15:restartNumberingAfterBreak="0">
    <w:nsid w:val="4B151AF1"/>
    <w:multiLevelType w:val="hybridMultilevel"/>
    <w:tmpl w:val="9BEE9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011B4D"/>
    <w:multiLevelType w:val="hybridMultilevel"/>
    <w:tmpl w:val="0C3A52BC"/>
    <w:lvl w:ilvl="0" w:tplc="46B01E08">
      <w:start w:val="1"/>
      <w:numFmt w:val="decimal"/>
      <w:lvlText w:val="%1."/>
      <w:lvlJc w:val="left"/>
      <w:pPr>
        <w:tabs>
          <w:tab w:val="num" w:pos="720"/>
        </w:tabs>
        <w:ind w:left="720" w:hanging="360"/>
      </w:pPr>
      <w:rPr>
        <w:color w:val="auto"/>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1034C4"/>
    <w:multiLevelType w:val="multilevel"/>
    <w:tmpl w:val="6FB86F82"/>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E808E6"/>
    <w:multiLevelType w:val="hybridMultilevel"/>
    <w:tmpl w:val="46C69A7E"/>
    <w:lvl w:ilvl="0" w:tplc="685062B8">
      <w:start w:val="1"/>
      <w:numFmt w:val="decimal"/>
      <w:lvlText w:val="%1."/>
      <w:lvlJc w:val="left"/>
      <w:pPr>
        <w:ind w:left="720" w:hanging="360"/>
      </w:pPr>
      <w:rPr>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4325014"/>
    <w:multiLevelType w:val="hybridMultilevel"/>
    <w:tmpl w:val="CA4AFE14"/>
    <w:lvl w:ilvl="0" w:tplc="9FFCF976">
      <w:start w:val="5"/>
      <w:numFmt w:val="decimal"/>
      <w:lvlText w:val="%1."/>
      <w:lvlJc w:val="left"/>
      <w:pPr>
        <w:tabs>
          <w:tab w:val="num" w:pos="360"/>
        </w:tabs>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6222435"/>
    <w:multiLevelType w:val="hybridMultilevel"/>
    <w:tmpl w:val="522AA4CE"/>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667EC"/>
    <w:multiLevelType w:val="hybridMultilevel"/>
    <w:tmpl w:val="46742EDE"/>
    <w:lvl w:ilvl="0" w:tplc="063A1C8A">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B8971F2"/>
    <w:multiLevelType w:val="multilevel"/>
    <w:tmpl w:val="441C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A43872"/>
    <w:multiLevelType w:val="multilevel"/>
    <w:tmpl w:val="441C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87543"/>
    <w:multiLevelType w:val="multilevel"/>
    <w:tmpl w:val="CA8E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1B6860"/>
    <w:multiLevelType w:val="hybridMultilevel"/>
    <w:tmpl w:val="DC8C70D8"/>
    <w:lvl w:ilvl="0" w:tplc="685062B8">
      <w:start w:val="1"/>
      <w:numFmt w:val="decimal"/>
      <w:lvlText w:val="%1."/>
      <w:lvlJc w:val="left"/>
      <w:pPr>
        <w:ind w:left="720" w:hanging="360"/>
      </w:pPr>
      <w:rPr>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0100D99"/>
    <w:multiLevelType w:val="multilevel"/>
    <w:tmpl w:val="AB0A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10514E"/>
    <w:multiLevelType w:val="singleLevel"/>
    <w:tmpl w:val="0809000F"/>
    <w:lvl w:ilvl="0">
      <w:start w:val="1"/>
      <w:numFmt w:val="decimal"/>
      <w:lvlText w:val="%1."/>
      <w:lvlJc w:val="left"/>
      <w:pPr>
        <w:tabs>
          <w:tab w:val="num" w:pos="360"/>
        </w:tabs>
        <w:ind w:left="360" w:hanging="360"/>
      </w:pPr>
    </w:lvl>
  </w:abstractNum>
  <w:abstractNum w:abstractNumId="37" w15:restartNumberingAfterBreak="0">
    <w:nsid w:val="62DF59F6"/>
    <w:multiLevelType w:val="hybridMultilevel"/>
    <w:tmpl w:val="4A9CC8FE"/>
    <w:lvl w:ilvl="0" w:tplc="685062B8">
      <w:start w:val="1"/>
      <w:numFmt w:val="decimal"/>
      <w:lvlText w:val="%1."/>
      <w:lvlJc w:val="left"/>
      <w:pPr>
        <w:ind w:left="720" w:hanging="360"/>
      </w:pPr>
      <w:rPr>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3760317"/>
    <w:multiLevelType w:val="singleLevel"/>
    <w:tmpl w:val="0809000F"/>
    <w:lvl w:ilvl="0">
      <w:start w:val="1"/>
      <w:numFmt w:val="decimal"/>
      <w:lvlText w:val="%1."/>
      <w:lvlJc w:val="left"/>
      <w:pPr>
        <w:tabs>
          <w:tab w:val="num" w:pos="360"/>
        </w:tabs>
        <w:ind w:left="360" w:hanging="360"/>
      </w:pPr>
    </w:lvl>
  </w:abstractNum>
  <w:abstractNum w:abstractNumId="39" w15:restartNumberingAfterBreak="0">
    <w:nsid w:val="642B1F5D"/>
    <w:multiLevelType w:val="hybridMultilevel"/>
    <w:tmpl w:val="C4207EE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0" w15:restartNumberingAfterBreak="0">
    <w:nsid w:val="64EF6F53"/>
    <w:multiLevelType w:val="multilevel"/>
    <w:tmpl w:val="441C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025CD7"/>
    <w:multiLevelType w:val="hybridMultilevel"/>
    <w:tmpl w:val="F4FE5012"/>
    <w:lvl w:ilvl="0" w:tplc="4EF0D01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A56FAD"/>
    <w:multiLevelType w:val="hybridMultilevel"/>
    <w:tmpl w:val="68805B4A"/>
    <w:lvl w:ilvl="0" w:tplc="81366C1C">
      <w:start w:val="1"/>
      <w:numFmt w:val="decimal"/>
      <w:lvlText w:val="%1."/>
      <w:lvlJc w:val="left"/>
      <w:pPr>
        <w:ind w:left="720" w:hanging="360"/>
      </w:pPr>
      <w:rPr>
        <w:rFonts w:asciiTheme="minorHAnsi" w:eastAsia="Times New Roman" w:hAnsiTheme="minorHAnsi" w:cs="Arial"/>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5D5DB3"/>
    <w:multiLevelType w:val="singleLevel"/>
    <w:tmpl w:val="0809000F"/>
    <w:lvl w:ilvl="0">
      <w:start w:val="1"/>
      <w:numFmt w:val="decimal"/>
      <w:lvlText w:val="%1."/>
      <w:lvlJc w:val="left"/>
      <w:pPr>
        <w:tabs>
          <w:tab w:val="num" w:pos="360"/>
        </w:tabs>
        <w:ind w:left="360" w:hanging="360"/>
      </w:pPr>
    </w:lvl>
  </w:abstractNum>
  <w:abstractNum w:abstractNumId="44" w15:restartNumberingAfterBreak="0">
    <w:nsid w:val="7F8557E2"/>
    <w:multiLevelType w:val="multilevel"/>
    <w:tmpl w:val="6504C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485221">
    <w:abstractNumId w:val="43"/>
  </w:num>
  <w:num w:numId="2" w16cid:durableId="1529098257">
    <w:abstractNumId w:val="14"/>
  </w:num>
  <w:num w:numId="3" w16cid:durableId="728069903">
    <w:abstractNumId w:val="10"/>
  </w:num>
  <w:num w:numId="4" w16cid:durableId="975791425">
    <w:abstractNumId w:val="38"/>
  </w:num>
  <w:num w:numId="5" w16cid:durableId="1893610596">
    <w:abstractNumId w:val="15"/>
  </w:num>
  <w:num w:numId="6" w16cid:durableId="191648935">
    <w:abstractNumId w:val="35"/>
  </w:num>
  <w:num w:numId="7" w16cid:durableId="1122580224">
    <w:abstractNumId w:val="5"/>
  </w:num>
  <w:num w:numId="8" w16cid:durableId="274137442">
    <w:abstractNumId w:val="25"/>
  </w:num>
  <w:num w:numId="9" w16cid:durableId="2010518588">
    <w:abstractNumId w:val="37"/>
  </w:num>
  <w:num w:numId="10" w16cid:durableId="1153062781">
    <w:abstractNumId w:val="27"/>
  </w:num>
  <w:num w:numId="11" w16cid:durableId="486827085">
    <w:abstractNumId w:val="34"/>
  </w:num>
  <w:num w:numId="12" w16cid:durableId="1148353028">
    <w:abstractNumId w:val="7"/>
  </w:num>
  <w:num w:numId="13" w16cid:durableId="1152142148">
    <w:abstractNumId w:val="18"/>
  </w:num>
  <w:num w:numId="14" w16cid:durableId="181751578">
    <w:abstractNumId w:val="36"/>
  </w:num>
  <w:num w:numId="15" w16cid:durableId="1361904715">
    <w:abstractNumId w:val="11"/>
  </w:num>
  <w:num w:numId="16" w16cid:durableId="580876624">
    <w:abstractNumId w:val="12"/>
  </w:num>
  <w:num w:numId="17" w16cid:durableId="188378519">
    <w:abstractNumId w:val="28"/>
  </w:num>
  <w:num w:numId="18" w16cid:durableId="1575512062">
    <w:abstractNumId w:val="29"/>
  </w:num>
  <w:num w:numId="19" w16cid:durableId="1553612774">
    <w:abstractNumId w:val="13"/>
  </w:num>
  <w:num w:numId="20" w16cid:durableId="310990275">
    <w:abstractNumId w:val="24"/>
  </w:num>
  <w:num w:numId="21" w16cid:durableId="4287531">
    <w:abstractNumId w:val="33"/>
  </w:num>
  <w:num w:numId="22" w16cid:durableId="1462648523">
    <w:abstractNumId w:val="4"/>
  </w:num>
  <w:num w:numId="23" w16cid:durableId="1121725967">
    <w:abstractNumId w:val="6"/>
  </w:num>
  <w:num w:numId="24" w16cid:durableId="784080780">
    <w:abstractNumId w:val="8"/>
  </w:num>
  <w:num w:numId="25" w16cid:durableId="1481461750">
    <w:abstractNumId w:val="19"/>
  </w:num>
  <w:num w:numId="26" w16cid:durableId="409469512">
    <w:abstractNumId w:val="0"/>
  </w:num>
  <w:num w:numId="27" w16cid:durableId="2021350798">
    <w:abstractNumId w:val="41"/>
  </w:num>
  <w:num w:numId="28" w16cid:durableId="219291772">
    <w:abstractNumId w:val="16"/>
  </w:num>
  <w:num w:numId="29" w16cid:durableId="2030911735">
    <w:abstractNumId w:val="23"/>
  </w:num>
  <w:num w:numId="30" w16cid:durableId="814182727">
    <w:abstractNumId w:val="42"/>
  </w:num>
  <w:num w:numId="31" w16cid:durableId="872765695">
    <w:abstractNumId w:val="22"/>
  </w:num>
  <w:num w:numId="32" w16cid:durableId="135029028">
    <w:abstractNumId w:val="44"/>
  </w:num>
  <w:num w:numId="33" w16cid:durableId="1506675469">
    <w:abstractNumId w:val="32"/>
  </w:num>
  <w:num w:numId="34" w16cid:durableId="68120695">
    <w:abstractNumId w:val="9"/>
  </w:num>
  <w:num w:numId="35" w16cid:durableId="713119939">
    <w:abstractNumId w:val="20"/>
  </w:num>
  <w:num w:numId="36" w16cid:durableId="1568298386">
    <w:abstractNumId w:val="1"/>
  </w:num>
  <w:num w:numId="37" w16cid:durableId="675888287">
    <w:abstractNumId w:val="2"/>
  </w:num>
  <w:num w:numId="38" w16cid:durableId="2088260041">
    <w:abstractNumId w:val="26"/>
  </w:num>
  <w:num w:numId="39" w16cid:durableId="356660392">
    <w:abstractNumId w:val="21"/>
  </w:num>
  <w:num w:numId="40" w16cid:durableId="298924048">
    <w:abstractNumId w:val="30"/>
  </w:num>
  <w:num w:numId="41" w16cid:durableId="886840210">
    <w:abstractNumId w:val="39"/>
  </w:num>
  <w:num w:numId="42" w16cid:durableId="1811434315">
    <w:abstractNumId w:val="17"/>
  </w:num>
  <w:num w:numId="43" w16cid:durableId="895045977">
    <w:abstractNumId w:val="3"/>
  </w:num>
  <w:num w:numId="44" w16cid:durableId="543257076">
    <w:abstractNumId w:val="31"/>
  </w:num>
  <w:num w:numId="45" w16cid:durableId="6410755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E0B"/>
    <w:rsid w:val="0003273B"/>
    <w:rsid w:val="00051EEC"/>
    <w:rsid w:val="00054F44"/>
    <w:rsid w:val="00057DC1"/>
    <w:rsid w:val="000660B4"/>
    <w:rsid w:val="00066F5B"/>
    <w:rsid w:val="00076C73"/>
    <w:rsid w:val="00084F0F"/>
    <w:rsid w:val="00086470"/>
    <w:rsid w:val="000B259D"/>
    <w:rsid w:val="000B495A"/>
    <w:rsid w:val="000B7CD5"/>
    <w:rsid w:val="000C1E8E"/>
    <w:rsid w:val="000C52AC"/>
    <w:rsid w:val="000D2E97"/>
    <w:rsid w:val="000F5918"/>
    <w:rsid w:val="00100A3A"/>
    <w:rsid w:val="00103DDD"/>
    <w:rsid w:val="00115908"/>
    <w:rsid w:val="00123DB6"/>
    <w:rsid w:val="00140C4A"/>
    <w:rsid w:val="00187C1D"/>
    <w:rsid w:val="0019526D"/>
    <w:rsid w:val="001961EA"/>
    <w:rsid w:val="00196BE0"/>
    <w:rsid w:val="001A528A"/>
    <w:rsid w:val="001A56B1"/>
    <w:rsid w:val="001B65FD"/>
    <w:rsid w:val="001C1345"/>
    <w:rsid w:val="001C5F00"/>
    <w:rsid w:val="001D0CE2"/>
    <w:rsid w:val="001D2D95"/>
    <w:rsid w:val="001D31F6"/>
    <w:rsid w:val="001D3DEB"/>
    <w:rsid w:val="001E58ED"/>
    <w:rsid w:val="001E5D69"/>
    <w:rsid w:val="001F11AE"/>
    <w:rsid w:val="00202B9D"/>
    <w:rsid w:val="0020712D"/>
    <w:rsid w:val="0021176C"/>
    <w:rsid w:val="00233962"/>
    <w:rsid w:val="00251CFE"/>
    <w:rsid w:val="00255358"/>
    <w:rsid w:val="002633BB"/>
    <w:rsid w:val="00265C73"/>
    <w:rsid w:val="00271027"/>
    <w:rsid w:val="00276FE9"/>
    <w:rsid w:val="00281DAA"/>
    <w:rsid w:val="00291BCD"/>
    <w:rsid w:val="00294462"/>
    <w:rsid w:val="002B04F0"/>
    <w:rsid w:val="002C1BAC"/>
    <w:rsid w:val="002C20DF"/>
    <w:rsid w:val="002C4261"/>
    <w:rsid w:val="002C7C85"/>
    <w:rsid w:val="002E0B93"/>
    <w:rsid w:val="002F0DC5"/>
    <w:rsid w:val="002F0F10"/>
    <w:rsid w:val="002F1CD7"/>
    <w:rsid w:val="002F1D58"/>
    <w:rsid w:val="002F1EBE"/>
    <w:rsid w:val="00310326"/>
    <w:rsid w:val="00310A71"/>
    <w:rsid w:val="00312303"/>
    <w:rsid w:val="00316071"/>
    <w:rsid w:val="0035337A"/>
    <w:rsid w:val="00355241"/>
    <w:rsid w:val="00362C48"/>
    <w:rsid w:val="003A12CC"/>
    <w:rsid w:val="003B05F8"/>
    <w:rsid w:val="003B6C8B"/>
    <w:rsid w:val="003C7E1D"/>
    <w:rsid w:val="003D6DDC"/>
    <w:rsid w:val="003E25B3"/>
    <w:rsid w:val="003E3455"/>
    <w:rsid w:val="003E528C"/>
    <w:rsid w:val="003F7A5F"/>
    <w:rsid w:val="004013EE"/>
    <w:rsid w:val="0040273A"/>
    <w:rsid w:val="00404C96"/>
    <w:rsid w:val="0042575A"/>
    <w:rsid w:val="00432517"/>
    <w:rsid w:val="00432D58"/>
    <w:rsid w:val="004363DE"/>
    <w:rsid w:val="00440FD1"/>
    <w:rsid w:val="00444069"/>
    <w:rsid w:val="004468D3"/>
    <w:rsid w:val="00456417"/>
    <w:rsid w:val="00485343"/>
    <w:rsid w:val="00497FF6"/>
    <w:rsid w:val="004A3F27"/>
    <w:rsid w:val="004A5B84"/>
    <w:rsid w:val="004B607A"/>
    <w:rsid w:val="004C3F1F"/>
    <w:rsid w:val="004C7EF8"/>
    <w:rsid w:val="004D1031"/>
    <w:rsid w:val="004D2A0C"/>
    <w:rsid w:val="004D72D7"/>
    <w:rsid w:val="004D7333"/>
    <w:rsid w:val="004E02F8"/>
    <w:rsid w:val="004E6A6D"/>
    <w:rsid w:val="004F049E"/>
    <w:rsid w:val="0051132F"/>
    <w:rsid w:val="005171EF"/>
    <w:rsid w:val="005253F6"/>
    <w:rsid w:val="00531F18"/>
    <w:rsid w:val="005424A1"/>
    <w:rsid w:val="00555781"/>
    <w:rsid w:val="00556A80"/>
    <w:rsid w:val="0055739A"/>
    <w:rsid w:val="0056113E"/>
    <w:rsid w:val="0056302D"/>
    <w:rsid w:val="0057094C"/>
    <w:rsid w:val="00572C08"/>
    <w:rsid w:val="005829DF"/>
    <w:rsid w:val="005930BE"/>
    <w:rsid w:val="00597FC5"/>
    <w:rsid w:val="005A186D"/>
    <w:rsid w:val="005A70AE"/>
    <w:rsid w:val="005B2B59"/>
    <w:rsid w:val="005C0FAE"/>
    <w:rsid w:val="005C3DCE"/>
    <w:rsid w:val="005D0394"/>
    <w:rsid w:val="005D06FB"/>
    <w:rsid w:val="005D5BC0"/>
    <w:rsid w:val="005E51DD"/>
    <w:rsid w:val="0060133A"/>
    <w:rsid w:val="00612F0D"/>
    <w:rsid w:val="0061483A"/>
    <w:rsid w:val="006175E7"/>
    <w:rsid w:val="00625727"/>
    <w:rsid w:val="0062612D"/>
    <w:rsid w:val="00634AD5"/>
    <w:rsid w:val="00636C1C"/>
    <w:rsid w:val="00642406"/>
    <w:rsid w:val="006545E1"/>
    <w:rsid w:val="0065593C"/>
    <w:rsid w:val="00656B1C"/>
    <w:rsid w:val="006666F3"/>
    <w:rsid w:val="00672252"/>
    <w:rsid w:val="00681AB0"/>
    <w:rsid w:val="00694C44"/>
    <w:rsid w:val="006A26E5"/>
    <w:rsid w:val="006B5777"/>
    <w:rsid w:val="006B7053"/>
    <w:rsid w:val="006D52F6"/>
    <w:rsid w:val="006D7BFE"/>
    <w:rsid w:val="006F54E3"/>
    <w:rsid w:val="006F715C"/>
    <w:rsid w:val="00707464"/>
    <w:rsid w:val="007152E5"/>
    <w:rsid w:val="007262F3"/>
    <w:rsid w:val="00732654"/>
    <w:rsid w:val="00741562"/>
    <w:rsid w:val="007427FA"/>
    <w:rsid w:val="0074435B"/>
    <w:rsid w:val="00754839"/>
    <w:rsid w:val="0076500B"/>
    <w:rsid w:val="00767006"/>
    <w:rsid w:val="00767A9F"/>
    <w:rsid w:val="007717D4"/>
    <w:rsid w:val="00793ED2"/>
    <w:rsid w:val="00793F61"/>
    <w:rsid w:val="00795996"/>
    <w:rsid w:val="007D5BC2"/>
    <w:rsid w:val="007D6824"/>
    <w:rsid w:val="007E4607"/>
    <w:rsid w:val="007E5AD7"/>
    <w:rsid w:val="007E6A4D"/>
    <w:rsid w:val="007F2803"/>
    <w:rsid w:val="007F3DED"/>
    <w:rsid w:val="00820476"/>
    <w:rsid w:val="00822E57"/>
    <w:rsid w:val="00826093"/>
    <w:rsid w:val="00833727"/>
    <w:rsid w:val="008400BE"/>
    <w:rsid w:val="00842424"/>
    <w:rsid w:val="008431CA"/>
    <w:rsid w:val="00843B21"/>
    <w:rsid w:val="00847F4E"/>
    <w:rsid w:val="00854AC3"/>
    <w:rsid w:val="00855027"/>
    <w:rsid w:val="00863769"/>
    <w:rsid w:val="00876D61"/>
    <w:rsid w:val="0088247B"/>
    <w:rsid w:val="00894DEE"/>
    <w:rsid w:val="008A0BC9"/>
    <w:rsid w:val="008A12C5"/>
    <w:rsid w:val="008A72F1"/>
    <w:rsid w:val="008B391B"/>
    <w:rsid w:val="008B6A82"/>
    <w:rsid w:val="008C1F8B"/>
    <w:rsid w:val="008C2946"/>
    <w:rsid w:val="008C2F7A"/>
    <w:rsid w:val="008C5943"/>
    <w:rsid w:val="008C5CBD"/>
    <w:rsid w:val="008C5DE1"/>
    <w:rsid w:val="008D4F6B"/>
    <w:rsid w:val="008E367B"/>
    <w:rsid w:val="008E4D5E"/>
    <w:rsid w:val="008E5BE3"/>
    <w:rsid w:val="00913A50"/>
    <w:rsid w:val="00937125"/>
    <w:rsid w:val="00937E66"/>
    <w:rsid w:val="009458D4"/>
    <w:rsid w:val="00956E59"/>
    <w:rsid w:val="009637AD"/>
    <w:rsid w:val="00976AFA"/>
    <w:rsid w:val="00976F26"/>
    <w:rsid w:val="00981603"/>
    <w:rsid w:val="0098191F"/>
    <w:rsid w:val="00985579"/>
    <w:rsid w:val="009A00AB"/>
    <w:rsid w:val="009A0BCD"/>
    <w:rsid w:val="009B2BA6"/>
    <w:rsid w:val="009B483D"/>
    <w:rsid w:val="009C0F49"/>
    <w:rsid w:val="009D541A"/>
    <w:rsid w:val="009E7844"/>
    <w:rsid w:val="00A00592"/>
    <w:rsid w:val="00A02F73"/>
    <w:rsid w:val="00A03354"/>
    <w:rsid w:val="00A05F90"/>
    <w:rsid w:val="00A077FD"/>
    <w:rsid w:val="00A10D4A"/>
    <w:rsid w:val="00A14DAE"/>
    <w:rsid w:val="00A31A58"/>
    <w:rsid w:val="00A42FB0"/>
    <w:rsid w:val="00A7206B"/>
    <w:rsid w:val="00A73867"/>
    <w:rsid w:val="00A75136"/>
    <w:rsid w:val="00A96F88"/>
    <w:rsid w:val="00AA0AE2"/>
    <w:rsid w:val="00AA15D7"/>
    <w:rsid w:val="00AA4ADD"/>
    <w:rsid w:val="00AB0B42"/>
    <w:rsid w:val="00AB4EE4"/>
    <w:rsid w:val="00AB7334"/>
    <w:rsid w:val="00AC2CEC"/>
    <w:rsid w:val="00AD2F2A"/>
    <w:rsid w:val="00AD60D5"/>
    <w:rsid w:val="00AD6CBA"/>
    <w:rsid w:val="00AF3A18"/>
    <w:rsid w:val="00B17A72"/>
    <w:rsid w:val="00B21BB3"/>
    <w:rsid w:val="00B234AC"/>
    <w:rsid w:val="00B256D4"/>
    <w:rsid w:val="00B407AF"/>
    <w:rsid w:val="00B45F99"/>
    <w:rsid w:val="00B46B1C"/>
    <w:rsid w:val="00B63892"/>
    <w:rsid w:val="00B71BA1"/>
    <w:rsid w:val="00B8181B"/>
    <w:rsid w:val="00B83A17"/>
    <w:rsid w:val="00B84AD7"/>
    <w:rsid w:val="00B85069"/>
    <w:rsid w:val="00B944D1"/>
    <w:rsid w:val="00BA16F5"/>
    <w:rsid w:val="00BB3263"/>
    <w:rsid w:val="00BB7006"/>
    <w:rsid w:val="00BC7F13"/>
    <w:rsid w:val="00BD307C"/>
    <w:rsid w:val="00BD73EE"/>
    <w:rsid w:val="00BE6B73"/>
    <w:rsid w:val="00BE7300"/>
    <w:rsid w:val="00BF2437"/>
    <w:rsid w:val="00BF6D1C"/>
    <w:rsid w:val="00BF7701"/>
    <w:rsid w:val="00C01B37"/>
    <w:rsid w:val="00C151CB"/>
    <w:rsid w:val="00C20E7B"/>
    <w:rsid w:val="00C217E6"/>
    <w:rsid w:val="00C3396F"/>
    <w:rsid w:val="00C407FE"/>
    <w:rsid w:val="00C501D5"/>
    <w:rsid w:val="00C510E9"/>
    <w:rsid w:val="00C56954"/>
    <w:rsid w:val="00C77068"/>
    <w:rsid w:val="00C83FD4"/>
    <w:rsid w:val="00C91BAD"/>
    <w:rsid w:val="00C92CE6"/>
    <w:rsid w:val="00C935EC"/>
    <w:rsid w:val="00CA5DCD"/>
    <w:rsid w:val="00CA68E8"/>
    <w:rsid w:val="00CA79C7"/>
    <w:rsid w:val="00CB2674"/>
    <w:rsid w:val="00CB312B"/>
    <w:rsid w:val="00CC001B"/>
    <w:rsid w:val="00CC2A01"/>
    <w:rsid w:val="00CC657B"/>
    <w:rsid w:val="00CE4E4C"/>
    <w:rsid w:val="00CF3C47"/>
    <w:rsid w:val="00CF5FDB"/>
    <w:rsid w:val="00CF7FB1"/>
    <w:rsid w:val="00D043FA"/>
    <w:rsid w:val="00D12E0B"/>
    <w:rsid w:val="00D17582"/>
    <w:rsid w:val="00D2339F"/>
    <w:rsid w:val="00D32E7A"/>
    <w:rsid w:val="00D33092"/>
    <w:rsid w:val="00D37A44"/>
    <w:rsid w:val="00D41139"/>
    <w:rsid w:val="00D537D4"/>
    <w:rsid w:val="00D5724B"/>
    <w:rsid w:val="00D635D8"/>
    <w:rsid w:val="00D773B8"/>
    <w:rsid w:val="00D94441"/>
    <w:rsid w:val="00DA2B0D"/>
    <w:rsid w:val="00DB1F38"/>
    <w:rsid w:val="00DB2D7A"/>
    <w:rsid w:val="00DB4387"/>
    <w:rsid w:val="00DB58DF"/>
    <w:rsid w:val="00DC6B77"/>
    <w:rsid w:val="00DD7A66"/>
    <w:rsid w:val="00DE1838"/>
    <w:rsid w:val="00DE2D4F"/>
    <w:rsid w:val="00DF19C3"/>
    <w:rsid w:val="00DF66BE"/>
    <w:rsid w:val="00E031AA"/>
    <w:rsid w:val="00E10321"/>
    <w:rsid w:val="00E10AF2"/>
    <w:rsid w:val="00E1763C"/>
    <w:rsid w:val="00E2087A"/>
    <w:rsid w:val="00E326A5"/>
    <w:rsid w:val="00E34A1A"/>
    <w:rsid w:val="00E41032"/>
    <w:rsid w:val="00E41504"/>
    <w:rsid w:val="00E4768C"/>
    <w:rsid w:val="00E50C7D"/>
    <w:rsid w:val="00E70A61"/>
    <w:rsid w:val="00E71717"/>
    <w:rsid w:val="00E772D5"/>
    <w:rsid w:val="00E81C4D"/>
    <w:rsid w:val="00E8426E"/>
    <w:rsid w:val="00E93A2B"/>
    <w:rsid w:val="00EA3380"/>
    <w:rsid w:val="00EA3765"/>
    <w:rsid w:val="00EA495A"/>
    <w:rsid w:val="00EB3FD2"/>
    <w:rsid w:val="00EC4305"/>
    <w:rsid w:val="00ED1212"/>
    <w:rsid w:val="00ED298C"/>
    <w:rsid w:val="00ED6C76"/>
    <w:rsid w:val="00EE1589"/>
    <w:rsid w:val="00EE4979"/>
    <w:rsid w:val="00EF5AE6"/>
    <w:rsid w:val="00F13BE3"/>
    <w:rsid w:val="00F44E31"/>
    <w:rsid w:val="00F50228"/>
    <w:rsid w:val="00F51AB5"/>
    <w:rsid w:val="00F57C67"/>
    <w:rsid w:val="00F66797"/>
    <w:rsid w:val="00F76460"/>
    <w:rsid w:val="00F76F31"/>
    <w:rsid w:val="00F80738"/>
    <w:rsid w:val="00FA1989"/>
    <w:rsid w:val="00FA23A0"/>
    <w:rsid w:val="00FB54EF"/>
    <w:rsid w:val="00FB7BAB"/>
    <w:rsid w:val="00FC7597"/>
    <w:rsid w:val="00FD150D"/>
    <w:rsid w:val="00FD2655"/>
    <w:rsid w:val="00FD27AC"/>
    <w:rsid w:val="00FE5370"/>
    <w:rsid w:val="00FF6A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D18A8"/>
  <w15:chartTrackingRefBased/>
  <w15:docId w15:val="{37AFB535-019D-4CFA-ADBD-8AC1A6C7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E0B"/>
    <w:pPr>
      <w:spacing w:after="200" w:line="276" w:lineRule="auto"/>
    </w:pPr>
  </w:style>
  <w:style w:type="paragraph" w:styleId="Heading1">
    <w:name w:val="heading 1"/>
    <w:basedOn w:val="Normal"/>
    <w:next w:val="Normal"/>
    <w:link w:val="Heading1Char"/>
    <w:qFormat/>
    <w:rsid w:val="00D12E0B"/>
    <w:pPr>
      <w:keepNext/>
      <w:spacing w:after="0" w:line="240" w:lineRule="auto"/>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qFormat/>
    <w:rsid w:val="00D12E0B"/>
    <w:pPr>
      <w:keepNext/>
      <w:spacing w:after="0" w:line="240" w:lineRule="auto"/>
      <w:outlineLvl w:val="1"/>
    </w:pPr>
    <w:rPr>
      <w:rFonts w:ascii="Times New Roman" w:eastAsia="Times New Roman" w:hAnsi="Times New Roman" w:cs="Times New Roman"/>
      <w:i/>
      <w:sz w:val="20"/>
      <w:szCs w:val="20"/>
    </w:rPr>
  </w:style>
  <w:style w:type="paragraph" w:styleId="Heading3">
    <w:name w:val="heading 3"/>
    <w:basedOn w:val="Normal"/>
    <w:next w:val="Normal"/>
    <w:link w:val="Heading3Char"/>
    <w:uiPriority w:val="9"/>
    <w:semiHidden/>
    <w:unhideWhenUsed/>
    <w:qFormat/>
    <w:rsid w:val="00D635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E0B"/>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D12E0B"/>
    <w:rPr>
      <w:rFonts w:ascii="Times New Roman" w:eastAsia="Times New Roman" w:hAnsi="Times New Roman" w:cs="Times New Roman"/>
      <w:i/>
      <w:sz w:val="20"/>
      <w:szCs w:val="20"/>
    </w:rPr>
  </w:style>
  <w:style w:type="paragraph" w:styleId="ListParagraph">
    <w:name w:val="List Paragraph"/>
    <w:basedOn w:val="Normal"/>
    <w:uiPriority w:val="34"/>
    <w:qFormat/>
    <w:rsid w:val="00D12E0B"/>
    <w:pPr>
      <w:ind w:left="720"/>
      <w:contextualSpacing/>
    </w:pPr>
  </w:style>
  <w:style w:type="character" w:customStyle="1" w:styleId="Heading3Char">
    <w:name w:val="Heading 3 Char"/>
    <w:basedOn w:val="DefaultParagraphFont"/>
    <w:link w:val="Heading3"/>
    <w:uiPriority w:val="9"/>
    <w:semiHidden/>
    <w:rsid w:val="00D635D8"/>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C92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CE6"/>
    <w:rPr>
      <w:rFonts w:ascii="Segoe UI" w:hAnsi="Segoe UI" w:cs="Segoe UI"/>
      <w:sz w:val="18"/>
      <w:szCs w:val="18"/>
    </w:rPr>
  </w:style>
  <w:style w:type="table" w:styleId="TableGrid">
    <w:name w:val="Table Grid"/>
    <w:basedOn w:val="TableNormal"/>
    <w:uiPriority w:val="39"/>
    <w:rsid w:val="00D77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773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6">
    <w:name w:val="Grid Table 4 Accent 6"/>
    <w:basedOn w:val="TableNormal"/>
    <w:uiPriority w:val="49"/>
    <w:rsid w:val="00D773B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D773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3-Accent6">
    <w:name w:val="List Table 3 Accent 6"/>
    <w:basedOn w:val="TableNormal"/>
    <w:uiPriority w:val="48"/>
    <w:rsid w:val="00D773B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link w:val="NormalWebChar"/>
    <w:uiPriority w:val="99"/>
    <w:rsid w:val="00D773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rsid w:val="00D773B8"/>
    <w:rPr>
      <w:rFonts w:ascii="Times New Roman" w:eastAsia="Times New Roman" w:hAnsi="Times New Roman" w:cs="Times New Roman"/>
      <w:sz w:val="24"/>
      <w:szCs w:val="24"/>
      <w:lang w:val="en-US"/>
    </w:rPr>
  </w:style>
  <w:style w:type="paragraph" w:styleId="EnvelopeReturn">
    <w:name w:val="envelope return"/>
    <w:basedOn w:val="Normal"/>
    <w:rsid w:val="00D773B8"/>
    <w:pPr>
      <w:spacing w:after="120" w:line="240" w:lineRule="auto"/>
    </w:pPr>
    <w:rPr>
      <w:rFonts w:ascii="Arial" w:eastAsia="Times New Roman" w:hAnsi="Arial" w:cs="Times New Roman"/>
      <w:sz w:val="24"/>
      <w:szCs w:val="20"/>
      <w:lang w:val="en-US"/>
    </w:rPr>
  </w:style>
  <w:style w:type="paragraph" w:styleId="Header">
    <w:name w:val="header"/>
    <w:basedOn w:val="Normal"/>
    <w:link w:val="HeaderChar"/>
    <w:uiPriority w:val="99"/>
    <w:unhideWhenUsed/>
    <w:rsid w:val="0014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C4A"/>
  </w:style>
  <w:style w:type="paragraph" w:styleId="Footer">
    <w:name w:val="footer"/>
    <w:basedOn w:val="Normal"/>
    <w:link w:val="FooterChar"/>
    <w:uiPriority w:val="99"/>
    <w:unhideWhenUsed/>
    <w:rsid w:val="0014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C4A"/>
  </w:style>
  <w:style w:type="table" w:styleId="TableGridLight">
    <w:name w:val="Grid Table Light"/>
    <w:basedOn w:val="TableNormal"/>
    <w:uiPriority w:val="40"/>
    <w:rsid w:val="00E176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1176C"/>
    <w:rPr>
      <w:color w:val="0000FF"/>
      <w:u w:val="single"/>
    </w:rPr>
  </w:style>
  <w:style w:type="character" w:styleId="Strong">
    <w:name w:val="Strong"/>
    <w:basedOn w:val="DefaultParagraphFont"/>
    <w:uiPriority w:val="22"/>
    <w:qFormat/>
    <w:rsid w:val="00F66797"/>
    <w:rPr>
      <w:b/>
      <w:bCs/>
    </w:rPr>
  </w:style>
  <w:style w:type="character" w:styleId="CommentReference">
    <w:name w:val="annotation reference"/>
    <w:basedOn w:val="DefaultParagraphFont"/>
    <w:uiPriority w:val="99"/>
    <w:semiHidden/>
    <w:unhideWhenUsed/>
    <w:rsid w:val="00A00592"/>
    <w:rPr>
      <w:sz w:val="16"/>
      <w:szCs w:val="16"/>
    </w:rPr>
  </w:style>
  <w:style w:type="paragraph" w:styleId="CommentText">
    <w:name w:val="annotation text"/>
    <w:basedOn w:val="Normal"/>
    <w:link w:val="CommentTextChar"/>
    <w:uiPriority w:val="99"/>
    <w:semiHidden/>
    <w:unhideWhenUsed/>
    <w:rsid w:val="00A00592"/>
    <w:pPr>
      <w:spacing w:line="240" w:lineRule="auto"/>
    </w:pPr>
    <w:rPr>
      <w:sz w:val="20"/>
      <w:szCs w:val="20"/>
    </w:rPr>
  </w:style>
  <w:style w:type="character" w:customStyle="1" w:styleId="CommentTextChar">
    <w:name w:val="Comment Text Char"/>
    <w:basedOn w:val="DefaultParagraphFont"/>
    <w:link w:val="CommentText"/>
    <w:uiPriority w:val="99"/>
    <w:semiHidden/>
    <w:rsid w:val="00A00592"/>
    <w:rPr>
      <w:sz w:val="20"/>
      <w:szCs w:val="20"/>
    </w:rPr>
  </w:style>
  <w:style w:type="paragraph" w:styleId="CommentSubject">
    <w:name w:val="annotation subject"/>
    <w:basedOn w:val="CommentText"/>
    <w:next w:val="CommentText"/>
    <w:link w:val="CommentSubjectChar"/>
    <w:uiPriority w:val="99"/>
    <w:semiHidden/>
    <w:unhideWhenUsed/>
    <w:rsid w:val="00A00592"/>
    <w:rPr>
      <w:b/>
      <w:bCs/>
    </w:rPr>
  </w:style>
  <w:style w:type="character" w:customStyle="1" w:styleId="CommentSubjectChar">
    <w:name w:val="Comment Subject Char"/>
    <w:basedOn w:val="CommentTextChar"/>
    <w:link w:val="CommentSubject"/>
    <w:uiPriority w:val="99"/>
    <w:semiHidden/>
    <w:rsid w:val="00A00592"/>
    <w:rPr>
      <w:b/>
      <w:bCs/>
      <w:sz w:val="20"/>
      <w:szCs w:val="20"/>
    </w:rPr>
  </w:style>
  <w:style w:type="paragraph" w:styleId="FootnoteText">
    <w:name w:val="footnote text"/>
    <w:basedOn w:val="Normal"/>
    <w:link w:val="FootnoteTextChar"/>
    <w:uiPriority w:val="99"/>
    <w:semiHidden/>
    <w:unhideWhenUsed/>
    <w:rsid w:val="007F28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803"/>
    <w:rPr>
      <w:sz w:val="20"/>
      <w:szCs w:val="20"/>
    </w:rPr>
  </w:style>
  <w:style w:type="character" w:styleId="FootnoteReference">
    <w:name w:val="footnote reference"/>
    <w:basedOn w:val="DefaultParagraphFont"/>
    <w:uiPriority w:val="99"/>
    <w:semiHidden/>
    <w:unhideWhenUsed/>
    <w:rsid w:val="007F2803"/>
    <w:rPr>
      <w:vertAlign w:val="superscript"/>
    </w:rPr>
  </w:style>
  <w:style w:type="character" w:styleId="UnresolvedMention">
    <w:name w:val="Unresolved Mention"/>
    <w:basedOn w:val="DefaultParagraphFont"/>
    <w:uiPriority w:val="99"/>
    <w:semiHidden/>
    <w:unhideWhenUsed/>
    <w:rsid w:val="00625727"/>
    <w:rPr>
      <w:color w:val="605E5C"/>
      <w:shd w:val="clear" w:color="auto" w:fill="E1DFDD"/>
    </w:rPr>
  </w:style>
  <w:style w:type="paragraph" w:styleId="Revision">
    <w:name w:val="Revision"/>
    <w:hidden/>
    <w:uiPriority w:val="99"/>
    <w:semiHidden/>
    <w:rsid w:val="000327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5651">
      <w:bodyDiv w:val="1"/>
      <w:marLeft w:val="0"/>
      <w:marRight w:val="0"/>
      <w:marTop w:val="0"/>
      <w:marBottom w:val="0"/>
      <w:divBdr>
        <w:top w:val="none" w:sz="0" w:space="0" w:color="auto"/>
        <w:left w:val="none" w:sz="0" w:space="0" w:color="auto"/>
        <w:bottom w:val="none" w:sz="0" w:space="0" w:color="auto"/>
        <w:right w:val="none" w:sz="0" w:space="0" w:color="auto"/>
      </w:divBdr>
    </w:div>
    <w:div w:id="347946796">
      <w:bodyDiv w:val="1"/>
      <w:marLeft w:val="0"/>
      <w:marRight w:val="0"/>
      <w:marTop w:val="0"/>
      <w:marBottom w:val="0"/>
      <w:divBdr>
        <w:top w:val="none" w:sz="0" w:space="0" w:color="auto"/>
        <w:left w:val="none" w:sz="0" w:space="0" w:color="auto"/>
        <w:bottom w:val="none" w:sz="0" w:space="0" w:color="auto"/>
        <w:right w:val="none" w:sz="0" w:space="0" w:color="auto"/>
      </w:divBdr>
    </w:div>
    <w:div w:id="460807837">
      <w:bodyDiv w:val="1"/>
      <w:marLeft w:val="0"/>
      <w:marRight w:val="0"/>
      <w:marTop w:val="0"/>
      <w:marBottom w:val="0"/>
      <w:divBdr>
        <w:top w:val="none" w:sz="0" w:space="0" w:color="auto"/>
        <w:left w:val="none" w:sz="0" w:space="0" w:color="auto"/>
        <w:bottom w:val="none" w:sz="0" w:space="0" w:color="auto"/>
        <w:right w:val="none" w:sz="0" w:space="0" w:color="auto"/>
      </w:divBdr>
    </w:div>
    <w:div w:id="494030369">
      <w:bodyDiv w:val="1"/>
      <w:marLeft w:val="0"/>
      <w:marRight w:val="0"/>
      <w:marTop w:val="0"/>
      <w:marBottom w:val="0"/>
      <w:divBdr>
        <w:top w:val="none" w:sz="0" w:space="0" w:color="auto"/>
        <w:left w:val="none" w:sz="0" w:space="0" w:color="auto"/>
        <w:bottom w:val="none" w:sz="0" w:space="0" w:color="auto"/>
        <w:right w:val="none" w:sz="0" w:space="0" w:color="auto"/>
      </w:divBdr>
    </w:div>
    <w:div w:id="985813592">
      <w:bodyDiv w:val="1"/>
      <w:marLeft w:val="0"/>
      <w:marRight w:val="0"/>
      <w:marTop w:val="0"/>
      <w:marBottom w:val="0"/>
      <w:divBdr>
        <w:top w:val="none" w:sz="0" w:space="0" w:color="auto"/>
        <w:left w:val="none" w:sz="0" w:space="0" w:color="auto"/>
        <w:bottom w:val="none" w:sz="0" w:space="0" w:color="auto"/>
        <w:right w:val="none" w:sz="0" w:space="0" w:color="auto"/>
      </w:divBdr>
    </w:div>
    <w:div w:id="1130589008">
      <w:bodyDiv w:val="1"/>
      <w:marLeft w:val="0"/>
      <w:marRight w:val="0"/>
      <w:marTop w:val="0"/>
      <w:marBottom w:val="0"/>
      <w:divBdr>
        <w:top w:val="none" w:sz="0" w:space="0" w:color="auto"/>
        <w:left w:val="none" w:sz="0" w:space="0" w:color="auto"/>
        <w:bottom w:val="none" w:sz="0" w:space="0" w:color="auto"/>
        <w:right w:val="none" w:sz="0" w:space="0" w:color="auto"/>
      </w:divBdr>
    </w:div>
    <w:div w:id="1407605892">
      <w:bodyDiv w:val="1"/>
      <w:marLeft w:val="0"/>
      <w:marRight w:val="0"/>
      <w:marTop w:val="0"/>
      <w:marBottom w:val="0"/>
      <w:divBdr>
        <w:top w:val="none" w:sz="0" w:space="0" w:color="auto"/>
        <w:left w:val="none" w:sz="0" w:space="0" w:color="auto"/>
        <w:bottom w:val="none" w:sz="0" w:space="0" w:color="auto"/>
        <w:right w:val="none" w:sz="0" w:space="0" w:color="auto"/>
      </w:divBdr>
    </w:div>
    <w:div w:id="1669481959">
      <w:bodyDiv w:val="1"/>
      <w:marLeft w:val="0"/>
      <w:marRight w:val="0"/>
      <w:marTop w:val="0"/>
      <w:marBottom w:val="0"/>
      <w:divBdr>
        <w:top w:val="none" w:sz="0" w:space="0" w:color="auto"/>
        <w:left w:val="none" w:sz="0" w:space="0" w:color="auto"/>
        <w:bottom w:val="none" w:sz="0" w:space="0" w:color="auto"/>
        <w:right w:val="none" w:sz="0" w:space="0" w:color="auto"/>
      </w:divBdr>
    </w:div>
    <w:div w:id="213001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4015C-549A-4063-9FF3-DC3730D8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Eithne O'Leary</dc:creator>
  <cp:keywords/>
  <dc:description/>
  <cp:lastModifiedBy>Frances Drummond</cp:lastModifiedBy>
  <cp:revision>2</cp:revision>
  <cp:lastPrinted>2016-07-04T13:52:00Z</cp:lastPrinted>
  <dcterms:created xsi:type="dcterms:W3CDTF">2025-01-24T12:03:00Z</dcterms:created>
  <dcterms:modified xsi:type="dcterms:W3CDTF">2025-01-24T12:03:00Z</dcterms:modified>
</cp:coreProperties>
</file>